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C11" w14:textId="158EC034" w:rsidR="004E36BC" w:rsidRDefault="004E36BC" w:rsidP="006E0A85">
      <w:pPr>
        <w:jc w:val="both"/>
        <w:rPr>
          <w:u w:val="single"/>
        </w:rPr>
      </w:pPr>
      <w:r w:rsidRPr="004E36BC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070470F" wp14:editId="26A31AF0">
            <wp:extent cx="5728921" cy="561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92" t="-4644" r="44605" b="4644"/>
                    <a:stretch/>
                  </pic:blipFill>
                  <pic:spPr bwMode="auto">
                    <a:xfrm>
                      <a:off x="0" y="0"/>
                      <a:ext cx="5740312" cy="563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5B9694" w14:textId="4E5A430A" w:rsidR="008E0585" w:rsidRPr="000445E7" w:rsidRDefault="00AB669B" w:rsidP="006E0A85">
      <w:pPr>
        <w:jc w:val="both"/>
        <w:rPr>
          <w:b/>
          <w:bCs/>
          <w:u w:val="single"/>
        </w:rPr>
      </w:pPr>
      <w:r w:rsidRPr="000445E7">
        <w:rPr>
          <w:b/>
          <w:bCs/>
          <w:u w:val="single"/>
        </w:rPr>
        <w:t>H</w:t>
      </w:r>
      <w:r w:rsidR="008E0585" w:rsidRPr="000445E7">
        <w:rPr>
          <w:b/>
          <w:bCs/>
          <w:u w:val="single"/>
        </w:rPr>
        <w:t xml:space="preserve">uman </w:t>
      </w:r>
      <w:r w:rsidRPr="000445E7">
        <w:rPr>
          <w:b/>
          <w:bCs/>
          <w:u w:val="single"/>
        </w:rPr>
        <w:t>R</w:t>
      </w:r>
      <w:r w:rsidR="008E0585" w:rsidRPr="000445E7">
        <w:rPr>
          <w:b/>
          <w:bCs/>
          <w:u w:val="single"/>
        </w:rPr>
        <w:t xml:space="preserve">ights </w:t>
      </w:r>
      <w:r w:rsidR="008E0585" w:rsidRPr="000445E7">
        <w:rPr>
          <w:b/>
          <w:bCs/>
          <w:i/>
          <w:iCs/>
          <w:u w:val="single"/>
        </w:rPr>
        <w:t>in</w:t>
      </w:r>
      <w:r w:rsidR="008E0585" w:rsidRPr="000445E7">
        <w:rPr>
          <w:b/>
          <w:bCs/>
          <w:u w:val="single"/>
        </w:rPr>
        <w:t xml:space="preserve"> </w:t>
      </w:r>
      <w:r w:rsidRPr="000445E7">
        <w:rPr>
          <w:b/>
          <w:bCs/>
          <w:u w:val="single"/>
        </w:rPr>
        <w:t>P</w:t>
      </w:r>
      <w:r w:rsidR="008E0585" w:rsidRPr="000445E7">
        <w:rPr>
          <w:b/>
          <w:bCs/>
          <w:u w:val="single"/>
        </w:rPr>
        <w:t>ractice</w:t>
      </w:r>
      <w:r w:rsidRPr="000445E7">
        <w:rPr>
          <w:b/>
          <w:bCs/>
          <w:u w:val="single"/>
        </w:rPr>
        <w:t xml:space="preserve">, </w:t>
      </w:r>
      <w:r w:rsidR="004B6F36" w:rsidRPr="000445E7">
        <w:rPr>
          <w:b/>
          <w:bCs/>
          <w:u w:val="single"/>
        </w:rPr>
        <w:t xml:space="preserve">2021 </w:t>
      </w:r>
      <w:r w:rsidR="00AC3A8B">
        <w:rPr>
          <w:b/>
          <w:bCs/>
          <w:u w:val="single"/>
        </w:rPr>
        <w:t xml:space="preserve">Highlights </w:t>
      </w:r>
      <w:r w:rsidRPr="000445E7">
        <w:rPr>
          <w:b/>
          <w:bCs/>
          <w:u w:val="single"/>
        </w:rPr>
        <w:t xml:space="preserve">in Review </w:t>
      </w:r>
    </w:p>
    <w:p w14:paraId="3BDC134D" w14:textId="4EFA93DC" w:rsidR="008E0585" w:rsidRDefault="008E0585" w:rsidP="006E0A85">
      <w:pPr>
        <w:jc w:val="both"/>
      </w:pPr>
      <w:r w:rsidRPr="008E0585">
        <w:t xml:space="preserve">2021 was undoubtedly a challenging year for human rights, and for many of our friends and partners defending them around the world. It was a busy and productive year at HRIP, thanks to the </w:t>
      </w:r>
      <w:r w:rsidR="00B33D7E">
        <w:t>support of</w:t>
      </w:r>
      <w:r w:rsidR="00274F8D">
        <w:t>,</w:t>
      </w:r>
      <w:r w:rsidR="00B33D7E">
        <w:t xml:space="preserve"> and </w:t>
      </w:r>
      <w:r w:rsidRPr="008E0585">
        <w:t xml:space="preserve">collaboration </w:t>
      </w:r>
      <w:r>
        <w:t>with</w:t>
      </w:r>
      <w:r w:rsidR="00274F8D">
        <w:t xml:space="preserve">, </w:t>
      </w:r>
      <w:r w:rsidRPr="008E0585">
        <w:t>many</w:t>
      </w:r>
      <w:r>
        <w:t xml:space="preserve"> of you</w:t>
      </w:r>
      <w:r w:rsidRPr="008E0585">
        <w:t xml:space="preserve">. </w:t>
      </w:r>
      <w:r w:rsidR="00A5367F">
        <w:t>Here are a</w:t>
      </w:r>
      <w:r w:rsidR="00274F8D">
        <w:t xml:space="preserve"> few </w:t>
      </w:r>
      <w:r w:rsidRPr="008E0585">
        <w:t xml:space="preserve">highlights and significant developments </w:t>
      </w:r>
      <w:r w:rsidR="00B33D7E">
        <w:t>from the</w:t>
      </w:r>
      <w:r w:rsidRPr="008E0585">
        <w:t xml:space="preserve"> </w:t>
      </w:r>
      <w:r>
        <w:t>last year</w:t>
      </w:r>
      <w:r w:rsidR="00B33D7E">
        <w:t xml:space="preserve"> that</w:t>
      </w:r>
      <w:r w:rsidR="00201D00">
        <w:t xml:space="preserve"> may be of interest or use</w:t>
      </w:r>
      <w:r w:rsidR="00A47AC5">
        <w:t xml:space="preserve"> in</w:t>
      </w:r>
      <w:r>
        <w:t xml:space="preserve"> your </w:t>
      </w:r>
      <w:r w:rsidR="00A47AC5">
        <w:t xml:space="preserve">own </w:t>
      </w:r>
      <w:r w:rsidR="00201D00">
        <w:t>w</w:t>
      </w:r>
      <w:r>
        <w:t xml:space="preserve">ork. </w:t>
      </w:r>
    </w:p>
    <w:p w14:paraId="6D93DA93" w14:textId="1940518B" w:rsidR="008E0585" w:rsidRPr="009547A3" w:rsidRDefault="008E0585" w:rsidP="006E0A85">
      <w:pPr>
        <w:pStyle w:val="ListParagraph"/>
        <w:numPr>
          <w:ilvl w:val="0"/>
          <w:numId w:val="7"/>
        </w:numPr>
        <w:jc w:val="both"/>
        <w:rPr>
          <w:b/>
          <w:bCs/>
          <w:i/>
          <w:iCs/>
          <w:u w:val="single"/>
        </w:rPr>
      </w:pPr>
      <w:r w:rsidRPr="009547A3">
        <w:rPr>
          <w:b/>
          <w:bCs/>
          <w:u w:val="single"/>
        </w:rPr>
        <w:t xml:space="preserve">Judicial independence - ground breaking decision in </w:t>
      </w:r>
      <w:r w:rsidRPr="009547A3">
        <w:rPr>
          <w:b/>
          <w:bCs/>
          <w:i/>
          <w:iCs/>
          <w:u w:val="single"/>
        </w:rPr>
        <w:t>Garzon v Spain</w:t>
      </w:r>
    </w:p>
    <w:p w14:paraId="30543B55" w14:textId="68C96BC3" w:rsidR="002155FC" w:rsidRDefault="00AC3A8B" w:rsidP="006E0A85">
      <w:pPr>
        <w:jc w:val="both"/>
      </w:pPr>
      <w:r>
        <w:t>In August of this year a</w:t>
      </w:r>
      <w:r w:rsidR="002945D2">
        <w:t xml:space="preserve"> </w:t>
      </w:r>
      <w:r w:rsidR="00CD0DCA">
        <w:t>ground-breaking</w:t>
      </w:r>
      <w:r>
        <w:t xml:space="preserve"> </w:t>
      </w:r>
      <w:r w:rsidR="00B33D7E">
        <w:t>decision was handed down by the</w:t>
      </w:r>
      <w:r w:rsidR="00B33D7E" w:rsidRPr="00B33D7E">
        <w:t xml:space="preserve"> UN Human Rights Committee in </w:t>
      </w:r>
      <w:r w:rsidR="00B33D7E">
        <w:t xml:space="preserve">the </w:t>
      </w:r>
      <w:r w:rsidR="00B33D7E" w:rsidRPr="00B33D7E">
        <w:t xml:space="preserve">case on behalf </w:t>
      </w:r>
      <w:r w:rsidR="005760D3">
        <w:t>of</w:t>
      </w:r>
      <w:r w:rsidR="00B33D7E" w:rsidRPr="00B33D7E">
        <w:t xml:space="preserve"> former Spanish judge </w:t>
      </w:r>
      <w:r w:rsidR="000971D5" w:rsidRPr="00B33D7E">
        <w:t>Baltazar</w:t>
      </w:r>
      <w:r w:rsidR="00B33D7E">
        <w:t xml:space="preserve"> </w:t>
      </w:r>
      <w:r w:rsidR="00B33D7E" w:rsidRPr="00B33D7E">
        <w:t>Garzón</w:t>
      </w:r>
      <w:r w:rsidR="000971D5">
        <w:t xml:space="preserve"> against Spain.  </w:t>
      </w:r>
      <w:r w:rsidR="002945D2">
        <w:t xml:space="preserve">Background to the case, which </w:t>
      </w:r>
      <w:r w:rsidR="000971D5">
        <w:t xml:space="preserve">challenged the removal </w:t>
      </w:r>
      <w:r w:rsidR="002945D2">
        <w:t xml:space="preserve">and prosecution </w:t>
      </w:r>
      <w:r w:rsidR="000971D5">
        <w:t xml:space="preserve">of </w:t>
      </w:r>
      <w:r w:rsidR="002945D2">
        <w:t>a judge</w:t>
      </w:r>
      <w:r w:rsidR="000971D5">
        <w:t xml:space="preserve"> </w:t>
      </w:r>
      <w:r w:rsidR="002945D2">
        <w:t>based on h</w:t>
      </w:r>
      <w:r w:rsidR="00FF3C6F">
        <w:t>is judicial activity</w:t>
      </w:r>
      <w:r w:rsidR="00F553FA">
        <w:t>,</w:t>
      </w:r>
      <w:r w:rsidR="00FF3C6F">
        <w:t xml:space="preserve"> </w:t>
      </w:r>
      <w:r w:rsidR="002945D2">
        <w:t xml:space="preserve">is </w:t>
      </w:r>
      <w:hyperlink r:id="rId9" w:history="1">
        <w:r w:rsidR="002945D2" w:rsidRPr="000445E7">
          <w:rPr>
            <w:rStyle w:val="Hyperlink"/>
          </w:rPr>
          <w:t>here</w:t>
        </w:r>
      </w:hyperlink>
      <w:r w:rsidR="002945D2">
        <w:t xml:space="preserve">. </w:t>
      </w:r>
      <w:r w:rsidR="000971D5">
        <w:t>In a decision</w:t>
      </w:r>
      <w:r w:rsidR="00905639">
        <w:t xml:space="preserve"> of wide-reaching significance</w:t>
      </w:r>
      <w:r w:rsidR="000971D5">
        <w:t xml:space="preserve">, the UNHRC found </w:t>
      </w:r>
      <w:r w:rsidR="00F553FA">
        <w:t>that</w:t>
      </w:r>
      <w:r w:rsidR="002A0EC3">
        <w:t>:</w:t>
      </w:r>
      <w:r w:rsidR="00F553FA">
        <w:t xml:space="preserve"> </w:t>
      </w:r>
      <w:r w:rsidR="000971D5">
        <w:t>p</w:t>
      </w:r>
      <w:r w:rsidR="00B33D7E" w:rsidRPr="00B33D7E">
        <w:t xml:space="preserve">rosecuting </w:t>
      </w:r>
      <w:r w:rsidR="000971D5">
        <w:t xml:space="preserve">a judge for his </w:t>
      </w:r>
      <w:r w:rsidR="00B33D7E" w:rsidRPr="00B33D7E">
        <w:t xml:space="preserve">judicial decisions was inherently ‘arbitrary,’ </w:t>
      </w:r>
      <w:r w:rsidR="002A0EC3">
        <w:t>in violation of</w:t>
      </w:r>
      <w:r w:rsidR="002A0EC3" w:rsidRPr="002A0EC3">
        <w:rPr>
          <w:rFonts w:ascii="Calibri" w:eastAsia="Calibri" w:hAnsi="Calibri" w:cs="Calibri"/>
          <w:lang w:val="en-US" w:eastAsia="es-ES"/>
        </w:rPr>
        <w:t xml:space="preserve"> </w:t>
      </w:r>
      <w:r w:rsidR="002A0EC3" w:rsidRPr="002A0EC3">
        <w:rPr>
          <w:lang w:val="en-US"/>
        </w:rPr>
        <w:t>Art 14(1)ICCPR guaranteeing a fair trial</w:t>
      </w:r>
      <w:r w:rsidR="002A0EC3">
        <w:rPr>
          <w:lang w:val="en-US"/>
        </w:rPr>
        <w:t>;</w:t>
      </w:r>
      <w:r w:rsidR="002A0EC3" w:rsidRPr="002A0EC3">
        <w:rPr>
          <w:rFonts w:ascii="Calibri" w:eastAsia="Calibri" w:hAnsi="Calibri" w:cs="Calibri"/>
          <w:lang w:val="en-US" w:eastAsia="es-ES"/>
        </w:rPr>
        <w:t xml:space="preserve"> </w:t>
      </w:r>
      <w:r w:rsidR="002A0EC3" w:rsidRPr="002A0EC3">
        <w:rPr>
          <w:lang w:val="en-US"/>
        </w:rPr>
        <w:t>Spanish courts lacked the necessary independence and impartiality in their handling of the cases against Judge Garzón</w:t>
      </w:r>
      <w:r w:rsidR="002A0EC3">
        <w:rPr>
          <w:lang w:val="en-US"/>
        </w:rPr>
        <w:t>,</w:t>
      </w:r>
      <w:r w:rsidR="002A0EC3" w:rsidRPr="002A0EC3">
        <w:rPr>
          <w:lang w:val="en-US"/>
        </w:rPr>
        <w:t xml:space="preserve"> violati</w:t>
      </w:r>
      <w:r w:rsidR="002A0EC3">
        <w:rPr>
          <w:lang w:val="en-US"/>
        </w:rPr>
        <w:t>ng</w:t>
      </w:r>
      <w:r w:rsidR="002A0EC3" w:rsidRPr="002A0EC3">
        <w:rPr>
          <w:lang w:val="en-US"/>
        </w:rPr>
        <w:t xml:space="preserve"> </w:t>
      </w:r>
      <w:r w:rsidR="002A0EC3">
        <w:rPr>
          <w:lang w:val="en-US"/>
        </w:rPr>
        <w:t xml:space="preserve">the </w:t>
      </w:r>
      <w:r w:rsidR="002A0EC3" w:rsidRPr="002A0EC3">
        <w:rPr>
          <w:lang w:val="en-US"/>
        </w:rPr>
        <w:t>article 14(1) right to an impartial tribunal</w:t>
      </w:r>
      <w:r w:rsidR="002A0EC3">
        <w:rPr>
          <w:lang w:val="en-US"/>
        </w:rPr>
        <w:t xml:space="preserve">; </w:t>
      </w:r>
      <w:r w:rsidR="002A0EC3" w:rsidRPr="002A0EC3">
        <w:rPr>
          <w:lang w:val="en-US"/>
        </w:rPr>
        <w:t>Judge Garzón’s fair trial rights were violated by the denial of any right of appeal</w:t>
      </w:r>
      <w:r w:rsidR="002A0EC3">
        <w:rPr>
          <w:lang w:val="en-US"/>
        </w:rPr>
        <w:t xml:space="preserve">; </w:t>
      </w:r>
      <w:r w:rsidR="002A0EC3" w:rsidRPr="002A0EC3">
        <w:rPr>
          <w:lang w:val="en-US"/>
        </w:rPr>
        <w:t>the crime of ‘</w:t>
      </w:r>
      <w:r w:rsidR="002A0EC3" w:rsidRPr="002A0EC3">
        <w:rPr>
          <w:i/>
          <w:lang w:val="en-US"/>
        </w:rPr>
        <w:t>prevaricación</w:t>
      </w:r>
      <w:r w:rsidR="002A0EC3" w:rsidRPr="002A0EC3">
        <w:rPr>
          <w:lang w:val="en-US"/>
        </w:rPr>
        <w:t xml:space="preserve">’, </w:t>
      </w:r>
      <w:r w:rsidR="002A0EC3">
        <w:rPr>
          <w:lang w:val="en-US"/>
        </w:rPr>
        <w:t>or rendering</w:t>
      </w:r>
      <w:r w:rsidR="002A0EC3" w:rsidRPr="002A0EC3">
        <w:rPr>
          <w:lang w:val="en-US"/>
        </w:rPr>
        <w:t xml:space="preserve"> ‘unjust judgments’ under the Spanish Criminal Code, fell foul of the legal certainty and foreseeability </w:t>
      </w:r>
      <w:r w:rsidR="002155FC">
        <w:rPr>
          <w:lang w:val="en-US"/>
        </w:rPr>
        <w:t>require</w:t>
      </w:r>
      <w:r w:rsidR="00905639">
        <w:rPr>
          <w:lang w:val="en-US"/>
        </w:rPr>
        <w:t xml:space="preserve">ments of </w:t>
      </w:r>
      <w:r w:rsidR="002A0EC3" w:rsidRPr="002A0EC3">
        <w:rPr>
          <w:lang w:val="en-US"/>
        </w:rPr>
        <w:t>article 15.</w:t>
      </w:r>
      <w:r w:rsidR="00B33D7E" w:rsidRPr="00B33D7E">
        <w:t xml:space="preserve"> </w:t>
      </w:r>
    </w:p>
    <w:p w14:paraId="5C353482" w14:textId="7F23465A" w:rsidR="008E0585" w:rsidRDefault="002A0EC3" w:rsidP="006E0A85">
      <w:pPr>
        <w:jc w:val="both"/>
      </w:pPr>
      <w:r>
        <w:t>The decision</w:t>
      </w:r>
      <w:r w:rsidR="002155FC">
        <w:t xml:space="preserve"> </w:t>
      </w:r>
      <w:r w:rsidR="001479D6">
        <w:t xml:space="preserve">strongly vindicates Judge Garzon’s lengthy legal struggle, and is an indictment on the Spanish process, but it also has broader relevance for judicial independence at a time when it is under attack globally. It also </w:t>
      </w:r>
      <w:r w:rsidR="00AC3A8B">
        <w:t>develops</w:t>
      </w:r>
      <w:r w:rsidR="002155FC">
        <w:t xml:space="preserve"> jurisprudence on the nature of fair trial</w:t>
      </w:r>
      <w:r w:rsidR="001479D6">
        <w:t>,</w:t>
      </w:r>
      <w:r w:rsidR="00AC3A8B">
        <w:t xml:space="preserve"> and the inherent arbitrariness</w:t>
      </w:r>
      <w:r w:rsidR="002155FC">
        <w:t xml:space="preserve"> of resort to criminal law </w:t>
      </w:r>
      <w:r w:rsidR="00AC3A8B">
        <w:t xml:space="preserve">in certain circumstances, </w:t>
      </w:r>
      <w:r w:rsidR="002155FC">
        <w:t xml:space="preserve">and </w:t>
      </w:r>
      <w:r w:rsidR="00AC3A8B">
        <w:t xml:space="preserve">on </w:t>
      </w:r>
      <w:r w:rsidR="002155FC">
        <w:t>the requirement</w:t>
      </w:r>
      <w:r w:rsidR="004E36BC">
        <w:t>s</w:t>
      </w:r>
      <w:r w:rsidR="002155FC">
        <w:t xml:space="preserve"> of </w:t>
      </w:r>
      <w:r w:rsidR="00AC3A8B">
        <w:t xml:space="preserve">preserving </w:t>
      </w:r>
      <w:r w:rsidR="002945D2">
        <w:t>judicial independence.</w:t>
      </w:r>
      <w:r w:rsidR="002155FC">
        <w:t xml:space="preserve"> </w:t>
      </w:r>
      <w:r w:rsidR="001479D6">
        <w:t xml:space="preserve">The decision </w:t>
      </w:r>
      <w:r w:rsidR="00FF3C6F">
        <w:t>(</w:t>
      </w:r>
      <w:r w:rsidR="00AC3A8B">
        <w:t xml:space="preserve">in </w:t>
      </w:r>
      <w:hyperlink r:id="rId10" w:history="1">
        <w:r w:rsidR="00FF3C6F" w:rsidRPr="00FF2ADD">
          <w:rPr>
            <w:rStyle w:val="Hyperlink"/>
          </w:rPr>
          <w:t>Spanish</w:t>
        </w:r>
      </w:hyperlink>
      <w:r w:rsidR="00FF3C6F">
        <w:t>)</w:t>
      </w:r>
      <w:r w:rsidR="00905639">
        <w:t xml:space="preserve"> and </w:t>
      </w:r>
      <w:hyperlink r:id="rId11" w:history="1">
        <w:r w:rsidR="00FF3C6F" w:rsidRPr="00397391">
          <w:rPr>
            <w:rStyle w:val="Hyperlink"/>
          </w:rPr>
          <w:t>statement/summary</w:t>
        </w:r>
      </w:hyperlink>
      <w:r w:rsidR="00AC3A8B">
        <w:rPr>
          <w:rStyle w:val="Hyperlink"/>
        </w:rPr>
        <w:t xml:space="preserve"> in English</w:t>
      </w:r>
      <w:r w:rsidR="0015612B">
        <w:t xml:space="preserve"> </w:t>
      </w:r>
      <w:r w:rsidR="00AC3A8B">
        <w:t xml:space="preserve">are here. </w:t>
      </w:r>
      <w:r w:rsidR="000971D5">
        <w:t xml:space="preserve">Thanks to </w:t>
      </w:r>
      <w:r w:rsidR="005760D3">
        <w:t xml:space="preserve">many who </w:t>
      </w:r>
      <w:r w:rsidR="000971D5">
        <w:t>supporte</w:t>
      </w:r>
      <w:r w:rsidR="005760D3">
        <w:t>d</w:t>
      </w:r>
      <w:r w:rsidR="000971D5">
        <w:t xml:space="preserve"> </w:t>
      </w:r>
      <w:r w:rsidR="005760D3">
        <w:t xml:space="preserve">including </w:t>
      </w:r>
      <w:r w:rsidR="00DC28AC">
        <w:t>provid</w:t>
      </w:r>
      <w:r w:rsidR="005760D3">
        <w:t>ing</w:t>
      </w:r>
      <w:r w:rsidR="00DC28AC">
        <w:t xml:space="preserve"> </w:t>
      </w:r>
      <w:hyperlink r:id="rId12" w:history="1">
        <w:r w:rsidR="00DC28AC" w:rsidRPr="00DC28AC">
          <w:rPr>
            <w:rStyle w:val="Hyperlink"/>
          </w:rPr>
          <w:t>expert opinions</w:t>
        </w:r>
      </w:hyperlink>
      <w:r w:rsidR="00AC3A8B">
        <w:t xml:space="preserve"> </w:t>
      </w:r>
      <w:r w:rsidR="002155FC">
        <w:t>-</w:t>
      </w:r>
      <w:r w:rsidR="000971D5">
        <w:t xml:space="preserve"> on </w:t>
      </w:r>
      <w:r w:rsidR="00DC28AC" w:rsidRPr="000445E7">
        <w:t xml:space="preserve">Spanish law, judicial independence, and </w:t>
      </w:r>
      <w:r w:rsidR="00AC3A8B">
        <w:t xml:space="preserve"> accountability </w:t>
      </w:r>
      <w:r w:rsidR="00DC28AC" w:rsidRPr="000445E7">
        <w:t>standards</w:t>
      </w:r>
      <w:r w:rsidR="000971D5">
        <w:t>.</w:t>
      </w:r>
      <w:r w:rsidR="00FF3C6F">
        <w:t xml:space="preserve"> </w:t>
      </w:r>
      <w:r w:rsidR="004E36BC">
        <w:t xml:space="preserve">We </w:t>
      </w:r>
      <w:r w:rsidR="005C5D1C">
        <w:t xml:space="preserve">would welcome on-going support as we </w:t>
      </w:r>
      <w:r w:rsidR="004E36BC">
        <w:t xml:space="preserve">press for </w:t>
      </w:r>
      <w:r w:rsidR="002155FC">
        <w:t>full implementation, includ</w:t>
      </w:r>
      <w:r w:rsidR="00905639">
        <w:t>ing</w:t>
      </w:r>
      <w:r w:rsidR="002155FC">
        <w:t xml:space="preserve"> reinstatement, removal of criminal record</w:t>
      </w:r>
      <w:r w:rsidR="00905639">
        <w:t>,</w:t>
      </w:r>
      <w:r w:rsidR="002155FC">
        <w:t xml:space="preserve"> recognition and </w:t>
      </w:r>
      <w:r w:rsidR="005C5D1C">
        <w:t xml:space="preserve">the necessary </w:t>
      </w:r>
      <w:r w:rsidR="002155FC">
        <w:t>legal reform.</w:t>
      </w:r>
    </w:p>
    <w:p w14:paraId="09B9D697" w14:textId="217F1BF1" w:rsidR="00F7454C" w:rsidRPr="009547A3" w:rsidRDefault="00B1204C" w:rsidP="00F7454C">
      <w:pPr>
        <w:pStyle w:val="ListParagraph"/>
        <w:numPr>
          <w:ilvl w:val="0"/>
          <w:numId w:val="7"/>
        </w:numPr>
        <w:jc w:val="both"/>
        <w:rPr>
          <w:b/>
          <w:bCs/>
          <w:u w:val="single"/>
        </w:rPr>
      </w:pPr>
      <w:r w:rsidRPr="009547A3">
        <w:rPr>
          <w:b/>
          <w:bCs/>
          <w:u w:val="single"/>
        </w:rPr>
        <w:t>New developments in work on “terrorism,” torture &amp; Guant</w:t>
      </w:r>
      <w:r w:rsidR="0062764F" w:rsidRPr="009547A3">
        <w:rPr>
          <w:b/>
          <w:bCs/>
          <w:u w:val="single"/>
        </w:rPr>
        <w:t>á</w:t>
      </w:r>
      <w:r w:rsidRPr="009547A3">
        <w:rPr>
          <w:b/>
          <w:bCs/>
          <w:u w:val="single"/>
        </w:rPr>
        <w:t xml:space="preserve">namo </w:t>
      </w:r>
    </w:p>
    <w:p w14:paraId="6AEEC8C0" w14:textId="2AEF4F15" w:rsidR="00B1204C" w:rsidRPr="00B1204C" w:rsidRDefault="00B1204C" w:rsidP="006E0A85">
      <w:pPr>
        <w:jc w:val="both"/>
      </w:pPr>
      <w:r w:rsidRPr="00B1204C">
        <w:t xml:space="preserve">It was a historically important year for work on security and counter-terrorism, with the 20th anniversary of 9/11 and the ‘war on terror,’ </w:t>
      </w:r>
      <w:r w:rsidR="00905639">
        <w:t xml:space="preserve">the lead up to </w:t>
      </w:r>
      <w:r w:rsidR="005C5D1C">
        <w:t>20 years</w:t>
      </w:r>
      <w:r w:rsidR="00905639">
        <w:t xml:space="preserve"> </w:t>
      </w:r>
      <w:r w:rsidRPr="00B1204C">
        <w:t>of Guant</w:t>
      </w:r>
      <w:r w:rsidR="0062764F">
        <w:t>á</w:t>
      </w:r>
      <w:r w:rsidRPr="00B1204C">
        <w:t>namo</w:t>
      </w:r>
      <w:r w:rsidR="00905639">
        <w:t xml:space="preserve"> </w:t>
      </w:r>
      <w:r w:rsidR="005C5D1C">
        <w:t>(</w:t>
      </w:r>
      <w:r w:rsidR="00DC28AC">
        <w:t>11 Jan 2022</w:t>
      </w:r>
      <w:r w:rsidR="005C5D1C">
        <w:t>)</w:t>
      </w:r>
      <w:r w:rsidR="00905639">
        <w:t xml:space="preserve"> and the </w:t>
      </w:r>
      <w:r w:rsidR="005C5D1C">
        <w:t xml:space="preserve">troubling </w:t>
      </w:r>
      <w:r w:rsidR="00905639">
        <w:t>continuing spread of excessive counter-terrorism</w:t>
      </w:r>
      <w:r w:rsidR="005C5D1C">
        <w:t xml:space="preserve"> measures</w:t>
      </w:r>
      <w:r w:rsidR="004E36BC">
        <w:t xml:space="preserve"> globally</w:t>
      </w:r>
      <w:r w:rsidR="005C5D1C">
        <w:t>,</w:t>
      </w:r>
      <w:r w:rsidR="004E36BC">
        <w:t xml:space="preserve"> despite growing recognition of </w:t>
      </w:r>
      <w:r w:rsidR="005C5D1C">
        <w:t>their</w:t>
      </w:r>
      <w:r w:rsidR="004E36BC">
        <w:t xml:space="preserve"> counter-productivity</w:t>
      </w:r>
      <w:r w:rsidRPr="00B1204C">
        <w:t xml:space="preserve">. </w:t>
      </w:r>
      <w:r w:rsidR="00F279FF" w:rsidRPr="00F279FF">
        <w:t xml:space="preserve">This work </w:t>
      </w:r>
      <w:r w:rsidR="005C5D1C">
        <w:t>will remain a</w:t>
      </w:r>
      <w:r w:rsidR="00F279FF">
        <w:t xml:space="preserve"> priority</w:t>
      </w:r>
      <w:r w:rsidR="005C5D1C">
        <w:t>, despite waning interest in some contexts,</w:t>
      </w:r>
      <w:r w:rsidR="00F279FF">
        <w:t xml:space="preserve"> based</w:t>
      </w:r>
      <w:r w:rsidR="00F279FF" w:rsidRPr="00F279FF">
        <w:t xml:space="preserve"> </w:t>
      </w:r>
      <w:r w:rsidR="00F279FF">
        <w:t xml:space="preserve">on the </w:t>
      </w:r>
      <w:r w:rsidR="00F279FF" w:rsidRPr="00F279FF">
        <w:t>firm conviction that greater reckoning and learning lessons from the war on terror is essential for rule of law and security in the future</w:t>
      </w:r>
      <w:r w:rsidR="00F279FF">
        <w:t>.</w:t>
      </w:r>
      <w:r w:rsidR="005C5D1C">
        <w:t xml:space="preserve"> A</w:t>
      </w:r>
      <w:r w:rsidRPr="00B1204C">
        <w:t xml:space="preserve"> number of significant developments in </w:t>
      </w:r>
      <w:r w:rsidR="005C5D1C">
        <w:t>c</w:t>
      </w:r>
      <w:r w:rsidR="00995BEC">
        <w:t>ase</w:t>
      </w:r>
      <w:r w:rsidR="004E36BC">
        <w:t xml:space="preserve">s brought </w:t>
      </w:r>
      <w:r w:rsidRPr="00B1204C">
        <w:t>on behalf of CIA torture victim and Guantánamo "forever" prisoner Abu Zubaydah</w:t>
      </w:r>
      <w:r w:rsidR="004E36BC">
        <w:t xml:space="preserve"> (</w:t>
      </w:r>
      <w:r w:rsidR="005C5D1C">
        <w:t>w</w:t>
      </w:r>
      <w:r w:rsidR="00995BEC">
        <w:t>ho will soon have</w:t>
      </w:r>
      <w:r w:rsidR="00995BEC" w:rsidRPr="00B1204C">
        <w:t xml:space="preserve"> been </w:t>
      </w:r>
      <w:r w:rsidR="004E36BC">
        <w:t>d</w:t>
      </w:r>
      <w:r w:rsidR="00995BEC" w:rsidRPr="00B1204C">
        <w:t>etained without charge or trial for 20 years</w:t>
      </w:r>
      <w:r w:rsidR="004E36BC">
        <w:t>)</w:t>
      </w:r>
      <w:r w:rsidR="005C5D1C">
        <w:t xml:space="preserve"> are particularly worth flagging</w:t>
      </w:r>
      <w:r w:rsidR="00995BEC" w:rsidRPr="00B1204C">
        <w:t>.</w:t>
      </w:r>
    </w:p>
    <w:p w14:paraId="6598646F" w14:textId="77777777" w:rsidR="00B1204C" w:rsidRPr="000445E7" w:rsidRDefault="00B1204C" w:rsidP="009F39A1">
      <w:pPr>
        <w:numPr>
          <w:ilvl w:val="1"/>
          <w:numId w:val="4"/>
        </w:numPr>
        <w:spacing w:after="120"/>
        <w:ind w:hanging="357"/>
        <w:jc w:val="both"/>
        <w:rPr>
          <w:b/>
          <w:bCs/>
          <w:i/>
          <w:iCs/>
        </w:rPr>
      </w:pPr>
      <w:r w:rsidRPr="000445E7">
        <w:rPr>
          <w:b/>
          <w:bCs/>
          <w:i/>
          <w:iCs/>
        </w:rPr>
        <w:t>Implementation of ECHR rendition &amp; torture cases</w:t>
      </w:r>
    </w:p>
    <w:p w14:paraId="2251EBBD" w14:textId="74D0D973" w:rsidR="00B1204C" w:rsidRPr="00B1204C" w:rsidRDefault="00B1204C" w:rsidP="009F39A1">
      <w:pPr>
        <w:numPr>
          <w:ilvl w:val="0"/>
          <w:numId w:val="8"/>
        </w:numPr>
        <w:tabs>
          <w:tab w:val="num" w:pos="720"/>
        </w:tabs>
        <w:spacing w:after="120"/>
        <w:ind w:hanging="357"/>
        <w:jc w:val="both"/>
      </w:pPr>
      <w:r w:rsidRPr="00B1204C">
        <w:t>2021</w:t>
      </w:r>
      <w:r w:rsidR="000025B6">
        <w:t xml:space="preserve"> </w:t>
      </w:r>
      <w:r w:rsidR="00995BEC">
        <w:t xml:space="preserve">closed </w:t>
      </w:r>
      <w:r w:rsidRPr="00B1204C">
        <w:t xml:space="preserve">with the </w:t>
      </w:r>
      <w:r w:rsidR="00995BEC">
        <w:t xml:space="preserve">good news of the </w:t>
      </w:r>
      <w:r w:rsidR="000025B6" w:rsidRPr="00B1204C">
        <w:t>long-awaited</w:t>
      </w:r>
      <w:r w:rsidRPr="00B1204C">
        <w:t xml:space="preserve"> </w:t>
      </w:r>
      <w:r w:rsidRPr="00B1204C">
        <w:rPr>
          <w:b/>
          <w:bCs/>
          <w:i/>
          <w:iCs/>
        </w:rPr>
        <w:t>payment of compensation</w:t>
      </w:r>
      <w:r w:rsidRPr="00B1204C">
        <w:t xml:space="preserve"> to Abu Zubaydah by the Lithuanian government</w:t>
      </w:r>
      <w:r w:rsidR="00995BEC">
        <w:t xml:space="preserve"> on 23 December</w:t>
      </w:r>
      <w:r w:rsidRPr="00B1204C">
        <w:t>. The compensation ordered by the ECtHR in 2018 was finally completed when multiple obstacles that had impeded payment were overcome</w:t>
      </w:r>
      <w:r w:rsidR="005C5D1C">
        <w:t xml:space="preserve">. These included lifting of </w:t>
      </w:r>
      <w:r w:rsidRPr="00B1204C">
        <w:t>UN sanctions</w:t>
      </w:r>
      <w:r w:rsidR="00995BEC">
        <w:t xml:space="preserve"> </w:t>
      </w:r>
      <w:r w:rsidRPr="00B1204C">
        <w:t xml:space="preserve">at the behest of the UN Ombudsperson </w:t>
      </w:r>
      <w:r w:rsidR="005C5D1C">
        <w:t>(</w:t>
      </w:r>
      <w:r w:rsidRPr="00B1204C">
        <w:t>as our client is not an al Qaeda member</w:t>
      </w:r>
      <w:r w:rsidR="005C5D1C">
        <w:t>)</w:t>
      </w:r>
      <w:r w:rsidRPr="00B1204C">
        <w:t xml:space="preserve">, and </w:t>
      </w:r>
      <w:r w:rsidR="005C5D1C">
        <w:t xml:space="preserve">the release from Guantanamo of </w:t>
      </w:r>
      <w:r w:rsidRPr="00B1204C">
        <w:t xml:space="preserve">a power of </w:t>
      </w:r>
      <w:r w:rsidRPr="00B1204C">
        <w:lastRenderedPageBreak/>
        <w:t xml:space="preserve">attorney </w:t>
      </w:r>
      <w:r w:rsidR="005C5D1C">
        <w:t xml:space="preserve">– only </w:t>
      </w:r>
      <w:r w:rsidR="00995BEC">
        <w:t>10 y</w:t>
      </w:r>
      <w:r w:rsidRPr="00B1204C">
        <w:t>ears after I began to represent him</w:t>
      </w:r>
      <w:r w:rsidR="00995BEC">
        <w:t>!</w:t>
      </w:r>
      <w:r w:rsidRPr="00B1204C">
        <w:t xml:space="preserve"> We continue to press for </w:t>
      </w:r>
      <w:r w:rsidR="005C5D1C">
        <w:t xml:space="preserve">payment by </w:t>
      </w:r>
      <w:r w:rsidRPr="00B1204C">
        <w:t>Poland, and for the fuller reparation and implementation that remains lacking (</w:t>
      </w:r>
      <w:r w:rsidR="00F279FF">
        <w:t xml:space="preserve">see </w:t>
      </w:r>
      <w:r w:rsidRPr="00B1204C">
        <w:t xml:space="preserve">below). </w:t>
      </w:r>
    </w:p>
    <w:p w14:paraId="3BCD7D57" w14:textId="6F2133AF" w:rsidR="00B1204C" w:rsidRPr="00B1204C" w:rsidRDefault="00F279FF" w:rsidP="006E0A85">
      <w:pPr>
        <w:numPr>
          <w:ilvl w:val="0"/>
          <w:numId w:val="8"/>
        </w:numPr>
        <w:tabs>
          <w:tab w:val="num" w:pos="720"/>
        </w:tabs>
        <w:jc w:val="both"/>
      </w:pPr>
      <w:r>
        <w:t xml:space="preserve">While compensation has symbolic importance, </w:t>
      </w:r>
      <w:r w:rsidR="00D33A7E">
        <w:t>a key focus</w:t>
      </w:r>
      <w:r w:rsidR="00995BEC">
        <w:t xml:space="preserve"> </w:t>
      </w:r>
      <w:r w:rsidR="00B1204C" w:rsidRPr="00B1204C">
        <w:t xml:space="preserve">has been on ensuring </w:t>
      </w:r>
      <w:r w:rsidR="00B1204C" w:rsidRPr="00B1204C">
        <w:rPr>
          <w:b/>
          <w:bCs/>
          <w:i/>
          <w:iCs/>
        </w:rPr>
        <w:t>fuller implementation of the ECHR judgments</w:t>
      </w:r>
      <w:r>
        <w:rPr>
          <w:b/>
          <w:bCs/>
          <w:i/>
          <w:iCs/>
        </w:rPr>
        <w:t xml:space="preserve"> -</w:t>
      </w:r>
      <w:r w:rsidR="00B1204C" w:rsidRPr="00B1204C">
        <w:t xml:space="preserve"> recognition of wrongdoing and apology, investigation and truth-telling, accountability and measures to ensure non-repetition, and more effective representations to the US to end the </w:t>
      </w:r>
      <w:r w:rsidR="00D33A7E">
        <w:t>‘</w:t>
      </w:r>
      <w:r w:rsidR="00B1204C" w:rsidRPr="00B1204C">
        <w:t>flagrant denial of justice</w:t>
      </w:r>
      <w:r w:rsidR="00D33A7E">
        <w:t>’</w:t>
      </w:r>
      <w:r w:rsidR="00B1204C" w:rsidRPr="00B1204C">
        <w:t xml:space="preserve"> at Guantanamo as required by the </w:t>
      </w:r>
      <w:r w:rsidR="00D33A7E">
        <w:t>ECtHR</w:t>
      </w:r>
      <w:r w:rsidR="00EB3D42">
        <w:t xml:space="preserve">. </w:t>
      </w:r>
      <w:r w:rsidR="00D33A7E">
        <w:t xml:space="preserve">Far from meeting these, </w:t>
      </w:r>
      <w:r>
        <w:t xml:space="preserve">the partial closure of the </w:t>
      </w:r>
      <w:r w:rsidR="00B1204C" w:rsidRPr="00B1204C">
        <w:t>investigation</w:t>
      </w:r>
      <w:r>
        <w:t xml:space="preserve"> in Poland this year </w:t>
      </w:r>
      <w:r w:rsidR="00D33A7E">
        <w:t>was a sad i</w:t>
      </w:r>
      <w:r>
        <w:t>ndicati</w:t>
      </w:r>
      <w:r w:rsidR="00D33A7E">
        <w:t xml:space="preserve">on of </w:t>
      </w:r>
      <w:r w:rsidR="00B1204C" w:rsidRPr="00B1204C">
        <w:t xml:space="preserve">the opposite trajectory. Working with the Open Society Justice Initiative and European Implementation Network, we made </w:t>
      </w:r>
      <w:r w:rsidR="00E144C3" w:rsidRPr="00B1204C">
        <w:t xml:space="preserve">oral </w:t>
      </w:r>
      <w:r w:rsidR="00B1204C" w:rsidRPr="00B1204C">
        <w:t xml:space="preserve">and </w:t>
      </w:r>
      <w:hyperlink r:id="rId13" w:history="1">
        <w:r w:rsidR="00E144C3" w:rsidRPr="00E144C3">
          <w:rPr>
            <w:rStyle w:val="Hyperlink"/>
          </w:rPr>
          <w:t>written</w:t>
        </w:r>
        <w:r w:rsidR="00E144C3" w:rsidRPr="00E144C3" w:rsidDel="00E144C3">
          <w:rPr>
            <w:rStyle w:val="Hyperlink"/>
          </w:rPr>
          <w:t xml:space="preserve"> </w:t>
        </w:r>
        <w:r w:rsidR="00B1204C" w:rsidRPr="00E144C3">
          <w:rPr>
            <w:rStyle w:val="Hyperlink"/>
          </w:rPr>
          <w:t>submissions</w:t>
        </w:r>
      </w:hyperlink>
      <w:r w:rsidR="00B1204C" w:rsidRPr="00B1204C">
        <w:t xml:space="preserve"> to the Council of Europe Committee of Ministers</w:t>
      </w:r>
      <w:r w:rsidR="00D33A7E">
        <w:t xml:space="preserve">, and </w:t>
      </w:r>
      <w:hyperlink r:id="rId14" w:history="1">
        <w:r w:rsidR="00D33A7E" w:rsidRPr="004E12B3">
          <w:rPr>
            <w:rStyle w:val="Hyperlink"/>
          </w:rPr>
          <w:t>open letter</w:t>
        </w:r>
      </w:hyperlink>
      <w:r w:rsidR="00D33A7E">
        <w:t xml:space="preserve"> to </w:t>
      </w:r>
      <w:r w:rsidR="004E12B3">
        <w:t xml:space="preserve">the </w:t>
      </w:r>
      <w:r w:rsidR="00D33A7E">
        <w:t>P</w:t>
      </w:r>
      <w:r w:rsidR="004E12B3">
        <w:t>arliamentary Assembly of the Council of Europe</w:t>
      </w:r>
      <w:r>
        <w:t xml:space="preserve"> urging </w:t>
      </w:r>
      <w:r w:rsidR="004E12B3">
        <w:t>rigorous</w:t>
      </w:r>
      <w:r w:rsidR="00D33A7E">
        <w:t xml:space="preserve"> engagement and</w:t>
      </w:r>
      <w:r>
        <w:t xml:space="preserve"> oversight</w:t>
      </w:r>
      <w:r w:rsidR="00995BEC">
        <w:t xml:space="preserve">. </w:t>
      </w:r>
    </w:p>
    <w:p w14:paraId="554E379D" w14:textId="37DBCB85" w:rsidR="00B1204C" w:rsidRPr="000445E7" w:rsidRDefault="00B1204C" w:rsidP="009F39A1">
      <w:pPr>
        <w:numPr>
          <w:ilvl w:val="1"/>
          <w:numId w:val="8"/>
        </w:numPr>
        <w:spacing w:after="120"/>
        <w:ind w:hanging="357"/>
        <w:jc w:val="both"/>
        <w:rPr>
          <w:b/>
          <w:bCs/>
          <w:i/>
          <w:iCs/>
        </w:rPr>
      </w:pPr>
      <w:r w:rsidRPr="000445E7">
        <w:rPr>
          <w:b/>
          <w:bCs/>
          <w:i/>
          <w:iCs/>
        </w:rPr>
        <w:t xml:space="preserve">Novel litigation challenging the US and all other states </w:t>
      </w:r>
      <w:r w:rsidR="00995BEC" w:rsidRPr="000445E7">
        <w:rPr>
          <w:b/>
          <w:bCs/>
          <w:i/>
          <w:iCs/>
        </w:rPr>
        <w:t xml:space="preserve">that </w:t>
      </w:r>
      <w:r w:rsidRPr="000445E7">
        <w:rPr>
          <w:b/>
          <w:bCs/>
          <w:i/>
          <w:iCs/>
        </w:rPr>
        <w:t xml:space="preserve">share responsibility </w:t>
      </w:r>
      <w:r w:rsidR="000025B6" w:rsidRPr="000445E7">
        <w:rPr>
          <w:b/>
          <w:bCs/>
          <w:i/>
          <w:iCs/>
        </w:rPr>
        <w:t>for ongoing</w:t>
      </w:r>
      <w:r w:rsidRPr="000445E7">
        <w:rPr>
          <w:b/>
          <w:bCs/>
          <w:i/>
          <w:iCs/>
        </w:rPr>
        <w:t xml:space="preserve"> arbitrary detention at Guantanamo </w:t>
      </w:r>
    </w:p>
    <w:p w14:paraId="34B8670A" w14:textId="55CA22C1" w:rsidR="00B1204C" w:rsidRDefault="00B1204C" w:rsidP="009F39A1">
      <w:pPr>
        <w:numPr>
          <w:ilvl w:val="0"/>
          <w:numId w:val="8"/>
        </w:numPr>
        <w:tabs>
          <w:tab w:val="num" w:pos="720"/>
        </w:tabs>
        <w:spacing w:after="120"/>
        <w:ind w:hanging="357"/>
        <w:jc w:val="both"/>
      </w:pPr>
      <w:r w:rsidRPr="00B1204C">
        <w:t xml:space="preserve">A </w:t>
      </w:r>
      <w:r w:rsidRPr="00B1204C">
        <w:rPr>
          <w:b/>
          <w:bCs/>
          <w:i/>
          <w:iCs/>
        </w:rPr>
        <w:t>n</w:t>
      </w:r>
      <w:r w:rsidR="00D010AA">
        <w:rPr>
          <w:b/>
          <w:bCs/>
          <w:i/>
          <w:iCs/>
        </w:rPr>
        <w:t>ew</w:t>
      </w:r>
      <w:r w:rsidRPr="00B1204C">
        <w:rPr>
          <w:b/>
          <w:bCs/>
          <w:i/>
          <w:iCs/>
        </w:rPr>
        <w:t xml:space="preserve"> international legal case</w:t>
      </w:r>
      <w:r w:rsidRPr="00B1204C">
        <w:t xml:space="preserve"> was filed before the UN Working Group on Arbitrary Detention on 30 April 2021 against 7 states – US, UK, Thailand, Poland, Morocco, Lithuania, Afghanistan</w:t>
      </w:r>
      <w:r w:rsidR="00D33A7E">
        <w:t xml:space="preserve"> – that shifted tack and was</w:t>
      </w:r>
      <w:r w:rsidRPr="00B1204C">
        <w:t xml:space="preserve"> the first case of its kind to be brought against all states that share responsibility</w:t>
      </w:r>
      <w:r w:rsidR="008E42A1">
        <w:t xml:space="preserve"> for rendition and ongoing arbitrary detention</w:t>
      </w:r>
      <w:r w:rsidR="00A84498">
        <w:t>. U</w:t>
      </w:r>
      <w:r w:rsidRPr="00B1204C">
        <w:t>nlike previous litigation, it focus</w:t>
      </w:r>
      <w:r w:rsidR="00D33A7E">
        <w:t>es</w:t>
      </w:r>
      <w:r w:rsidRPr="00B1204C">
        <w:t xml:space="preserve"> to their </w:t>
      </w:r>
      <w:r w:rsidR="00A84498">
        <w:t xml:space="preserve">shared </w:t>
      </w:r>
      <w:r w:rsidRPr="00B1204C">
        <w:t xml:space="preserve">responsibility for bringing </w:t>
      </w:r>
      <w:r w:rsidR="008E42A1">
        <w:t>this</w:t>
      </w:r>
      <w:r w:rsidRPr="00B1204C">
        <w:t xml:space="preserve"> </w:t>
      </w:r>
      <w:r w:rsidR="008E42A1">
        <w:t>unlawful</w:t>
      </w:r>
      <w:r w:rsidRPr="00B1204C">
        <w:t xml:space="preserve"> detention</w:t>
      </w:r>
      <w:r w:rsidR="008E42A1">
        <w:t xml:space="preserve"> to an end</w:t>
      </w:r>
      <w:r w:rsidRPr="00B1204C">
        <w:t xml:space="preserve">. </w:t>
      </w:r>
      <w:r w:rsidR="00A84498">
        <w:t xml:space="preserve">The </w:t>
      </w:r>
      <w:hyperlink r:id="rId15" w:history="1">
        <w:r w:rsidR="008E42A1" w:rsidRPr="004D07DD">
          <w:rPr>
            <w:rStyle w:val="Hyperlink"/>
          </w:rPr>
          <w:t>media attention</w:t>
        </w:r>
      </w:hyperlink>
      <w:r w:rsidR="00A84498">
        <w:t xml:space="preserve"> </w:t>
      </w:r>
      <w:r w:rsidR="00D33A7E">
        <w:t xml:space="preserve">to the application </w:t>
      </w:r>
      <w:r w:rsidR="00A84498">
        <w:t>helped draw</w:t>
      </w:r>
      <w:r w:rsidR="008E42A1">
        <w:t xml:space="preserve"> </w:t>
      </w:r>
      <w:r w:rsidR="00D33A7E">
        <w:t>a</w:t>
      </w:r>
      <w:r w:rsidR="008E42A1">
        <w:t>ttention to his case</w:t>
      </w:r>
      <w:r w:rsidR="00A84498">
        <w:t xml:space="preserve"> </w:t>
      </w:r>
      <w:r w:rsidR="00CC1326">
        <w:t xml:space="preserve">(see </w:t>
      </w:r>
      <w:hyperlink r:id="rId16" w:history="1">
        <w:r w:rsidR="00CC1326" w:rsidRPr="00CC1326">
          <w:rPr>
            <w:rStyle w:val="Hyperlink"/>
          </w:rPr>
          <w:t>here</w:t>
        </w:r>
      </w:hyperlink>
      <w:r w:rsidR="00CC1326">
        <w:t xml:space="preserve">, </w:t>
      </w:r>
      <w:hyperlink r:id="rId17" w:history="1">
        <w:r w:rsidR="00CC1326" w:rsidRPr="00CC1326">
          <w:rPr>
            <w:rStyle w:val="Hyperlink"/>
          </w:rPr>
          <w:t>here</w:t>
        </w:r>
      </w:hyperlink>
      <w:r w:rsidR="00CC1326">
        <w:t xml:space="preserve"> and </w:t>
      </w:r>
      <w:hyperlink r:id="rId18" w:history="1">
        <w:r w:rsidR="00CC1326" w:rsidRPr="00CC1326">
          <w:rPr>
            <w:rStyle w:val="Hyperlink"/>
          </w:rPr>
          <w:t>here</w:t>
        </w:r>
      </w:hyperlink>
      <w:r w:rsidR="00CC1326">
        <w:t>)</w:t>
      </w:r>
      <w:r w:rsidR="00D33A7E">
        <w:t xml:space="preserve"> and the need for states to actively engage e</w:t>
      </w:r>
      <w:r w:rsidR="00EC34CD">
        <w:t>.</w:t>
      </w:r>
      <w:r w:rsidR="00D33A7E">
        <w:t>g</w:t>
      </w:r>
      <w:r w:rsidR="00EC34CD">
        <w:t>.</w:t>
      </w:r>
      <w:r w:rsidR="00D33A7E">
        <w:t xml:space="preserve"> offering relocation, increasing pressure on the US at a critical time</w:t>
      </w:r>
      <w:r w:rsidR="00A84498">
        <w:t>.</w:t>
      </w:r>
    </w:p>
    <w:p w14:paraId="6B49506C" w14:textId="406229A6" w:rsidR="00D010AA" w:rsidRPr="000445E7" w:rsidRDefault="00D010AA" w:rsidP="00E27FE2">
      <w:pPr>
        <w:numPr>
          <w:ilvl w:val="1"/>
          <w:numId w:val="8"/>
        </w:numPr>
        <w:spacing w:after="120"/>
        <w:ind w:hanging="357"/>
        <w:jc w:val="both"/>
        <w:rPr>
          <w:b/>
          <w:bCs/>
          <w:i/>
          <w:iCs/>
        </w:rPr>
      </w:pPr>
      <w:r w:rsidRPr="000445E7">
        <w:rPr>
          <w:b/>
          <w:bCs/>
          <w:i/>
          <w:iCs/>
        </w:rPr>
        <w:t xml:space="preserve">Support for national </w:t>
      </w:r>
      <w:r w:rsidR="002F5EFC">
        <w:rPr>
          <w:b/>
          <w:bCs/>
          <w:i/>
          <w:iCs/>
        </w:rPr>
        <w:t xml:space="preserve">rendition and torture </w:t>
      </w:r>
      <w:r w:rsidRPr="000445E7">
        <w:rPr>
          <w:b/>
          <w:bCs/>
          <w:i/>
          <w:iCs/>
        </w:rPr>
        <w:t>litigation</w:t>
      </w:r>
    </w:p>
    <w:p w14:paraId="2155BEC8" w14:textId="2973C1B9" w:rsidR="00B1204C" w:rsidRPr="00B1204C" w:rsidRDefault="00B1204C" w:rsidP="00E27FE2">
      <w:pPr>
        <w:numPr>
          <w:ilvl w:val="0"/>
          <w:numId w:val="8"/>
        </w:numPr>
        <w:tabs>
          <w:tab w:val="num" w:pos="720"/>
        </w:tabs>
        <w:spacing w:after="120"/>
        <w:ind w:hanging="357"/>
        <w:jc w:val="both"/>
      </w:pPr>
      <w:r w:rsidRPr="00B1204C">
        <w:t xml:space="preserve">Support was also provided </w:t>
      </w:r>
      <w:r w:rsidR="00A84498">
        <w:t xml:space="preserve">to our </w:t>
      </w:r>
      <w:r w:rsidR="00A84498" w:rsidRPr="00B1204C">
        <w:t xml:space="preserve">partner lawyers </w:t>
      </w:r>
      <w:r w:rsidRPr="00B1204C">
        <w:t xml:space="preserve">in </w:t>
      </w:r>
      <w:r w:rsidRPr="00B1204C">
        <w:rPr>
          <w:b/>
          <w:bCs/>
          <w:i/>
          <w:iCs/>
        </w:rPr>
        <w:t>national proceedings</w:t>
      </w:r>
      <w:r w:rsidR="00A84498">
        <w:rPr>
          <w:b/>
          <w:bCs/>
          <w:i/>
          <w:iCs/>
        </w:rPr>
        <w:t>.</w:t>
      </w:r>
      <w:r w:rsidRPr="00B1204C">
        <w:t xml:space="preserve"> These include a </w:t>
      </w:r>
      <w:r w:rsidR="00A84498">
        <w:t xml:space="preserve">new </w:t>
      </w:r>
      <w:r w:rsidRPr="00B1204C">
        <w:t>damages claim against the UK government</w:t>
      </w:r>
      <w:r w:rsidR="00D010AA">
        <w:t xml:space="preserve"> </w:t>
      </w:r>
      <w:r w:rsidR="008E42A1">
        <w:t xml:space="preserve">(for supplying question to the CIA during the client’s torture) </w:t>
      </w:r>
      <w:r w:rsidR="00D010AA">
        <w:t>pending</w:t>
      </w:r>
      <w:r w:rsidRPr="00B1204C">
        <w:t xml:space="preserve"> in </w:t>
      </w:r>
      <w:r w:rsidRPr="00D33A7E">
        <w:rPr>
          <w:i/>
          <w:iCs/>
        </w:rPr>
        <w:t>English courts</w:t>
      </w:r>
      <w:r w:rsidR="008E42A1">
        <w:t>. It also included an important hearing at th</w:t>
      </w:r>
      <w:r w:rsidRPr="00B1204C">
        <w:t xml:space="preserve">e </w:t>
      </w:r>
      <w:r w:rsidRPr="00D33A7E">
        <w:rPr>
          <w:i/>
          <w:iCs/>
        </w:rPr>
        <w:t>US Supreme Court</w:t>
      </w:r>
      <w:r w:rsidR="00A84498">
        <w:t xml:space="preserve">, </w:t>
      </w:r>
      <w:r w:rsidRPr="00B1204C">
        <w:t xml:space="preserve">challenging the application of </w:t>
      </w:r>
      <w:r w:rsidR="00A84498">
        <w:t xml:space="preserve">the </w:t>
      </w:r>
      <w:r w:rsidR="006E0A85">
        <w:t>‘</w:t>
      </w:r>
      <w:r w:rsidRPr="00B1204C">
        <w:t>state secrecy</w:t>
      </w:r>
      <w:r w:rsidR="006E0A85">
        <w:t>’</w:t>
      </w:r>
      <w:r w:rsidRPr="00B1204C">
        <w:t xml:space="preserve"> doctrine to preclude </w:t>
      </w:r>
      <w:r w:rsidR="00A84498">
        <w:t xml:space="preserve">the questioning </w:t>
      </w:r>
      <w:r w:rsidR="008E42A1">
        <w:t>by</w:t>
      </w:r>
      <w:r w:rsidR="00D010AA">
        <w:t xml:space="preserve"> Polish prosecutors </w:t>
      </w:r>
      <w:r w:rsidRPr="00B1204C">
        <w:t>of psychologists involved in the torture of our client</w:t>
      </w:r>
      <w:r w:rsidR="00A84498">
        <w:t xml:space="preserve"> in Poland</w:t>
      </w:r>
      <w:r w:rsidRPr="00B1204C">
        <w:t>.</w:t>
      </w:r>
      <w:r w:rsidR="00A84498">
        <w:t xml:space="preserve"> </w:t>
      </w:r>
      <w:r w:rsidR="00D33A7E">
        <w:t xml:space="preserve"> We are grateful to s</w:t>
      </w:r>
      <w:r w:rsidR="00A84498">
        <w:t xml:space="preserve">everal experts </w:t>
      </w:r>
      <w:r w:rsidR="00D33A7E">
        <w:t xml:space="preserve">who </w:t>
      </w:r>
      <w:r w:rsidR="00A84498">
        <w:t>provided powerful amicus interventions</w:t>
      </w:r>
      <w:r w:rsidR="006E0A85">
        <w:t>.</w:t>
      </w:r>
    </w:p>
    <w:p w14:paraId="1B68DCBE" w14:textId="2C29D57C" w:rsidR="008E0585" w:rsidRPr="009547A3" w:rsidRDefault="008E0585" w:rsidP="00E27FE2">
      <w:pPr>
        <w:numPr>
          <w:ilvl w:val="0"/>
          <w:numId w:val="1"/>
        </w:numPr>
        <w:spacing w:after="120"/>
        <w:jc w:val="both"/>
        <w:rPr>
          <w:b/>
          <w:bCs/>
          <w:u w:val="single"/>
        </w:rPr>
      </w:pPr>
      <w:r w:rsidRPr="009547A3">
        <w:rPr>
          <w:b/>
          <w:bCs/>
          <w:u w:val="single"/>
        </w:rPr>
        <w:t>Climate litigation in national and international courts</w:t>
      </w:r>
    </w:p>
    <w:p w14:paraId="20E91667" w14:textId="2A0AF286" w:rsidR="008E0585" w:rsidRPr="008E0585" w:rsidRDefault="008E0585" w:rsidP="006E0A85">
      <w:pPr>
        <w:jc w:val="both"/>
      </w:pPr>
      <w:r w:rsidRPr="008E0585">
        <w:t xml:space="preserve">Climate change is undoubtedly one of the </w:t>
      </w:r>
      <w:r w:rsidR="00A47AC5">
        <w:t>greatest</w:t>
      </w:r>
      <w:r w:rsidRPr="008E0585">
        <w:t xml:space="preserve"> </w:t>
      </w:r>
      <w:r w:rsidR="00366DF0">
        <w:t>h</w:t>
      </w:r>
      <w:r w:rsidRPr="008E0585">
        <w:t xml:space="preserve">uman </w:t>
      </w:r>
      <w:r w:rsidR="00366DF0">
        <w:t>r</w:t>
      </w:r>
      <w:r w:rsidRPr="008E0585">
        <w:t xml:space="preserve">ights challenges of our time, </w:t>
      </w:r>
      <w:r w:rsidR="00366DF0" w:rsidRPr="008E0585">
        <w:t xml:space="preserve">disproportionately </w:t>
      </w:r>
      <w:r w:rsidRPr="008E0585">
        <w:t xml:space="preserve">affecting the most vulnerable globally, and </w:t>
      </w:r>
      <w:r w:rsidR="002B22AA">
        <w:t>was</w:t>
      </w:r>
      <w:r w:rsidRPr="008E0585">
        <w:t xml:space="preserve"> a priority area for HRiP</w:t>
      </w:r>
      <w:r w:rsidR="002B22AA">
        <w:t xml:space="preserve"> </w:t>
      </w:r>
      <w:r w:rsidR="00A47AC5">
        <w:t>last</w:t>
      </w:r>
      <w:r w:rsidR="002B22AA">
        <w:t xml:space="preserve"> year</w:t>
      </w:r>
      <w:r w:rsidRPr="008E0585">
        <w:t>. During 2021</w:t>
      </w:r>
      <w:r w:rsidR="002B22AA">
        <w:t>,</w:t>
      </w:r>
      <w:r w:rsidRPr="008E0585">
        <w:t xml:space="preserve"> work </w:t>
      </w:r>
      <w:r w:rsidR="00366DF0">
        <w:t xml:space="preserve">in this field </w:t>
      </w:r>
      <w:r w:rsidRPr="008E0585">
        <w:t xml:space="preserve">included </w:t>
      </w:r>
      <w:r w:rsidR="006E0A85">
        <w:t xml:space="preserve">advising and </w:t>
      </w:r>
      <w:r w:rsidRPr="008E0585">
        <w:t xml:space="preserve">supporting </w:t>
      </w:r>
      <w:r w:rsidR="00E92B18">
        <w:t xml:space="preserve">Greenpeace and other </w:t>
      </w:r>
      <w:r w:rsidRPr="008E0585">
        <w:t>national</w:t>
      </w:r>
      <w:r w:rsidR="00A47AC5">
        <w:t xml:space="preserve"> and international</w:t>
      </w:r>
      <w:r w:rsidRPr="008E0585">
        <w:t xml:space="preserve"> partners with </w:t>
      </w:r>
      <w:r w:rsidR="00A47AC5">
        <w:t xml:space="preserve">human rights based legal action </w:t>
      </w:r>
      <w:r w:rsidRPr="008E0585">
        <w:t xml:space="preserve">in the </w:t>
      </w:r>
      <w:r w:rsidR="00623AFB">
        <w:t xml:space="preserve">Supreme Court of </w:t>
      </w:r>
      <w:r w:rsidRPr="008E0585">
        <w:t>Norway</w:t>
      </w:r>
      <w:r w:rsidR="00D33A7E">
        <w:t>,</w:t>
      </w:r>
      <w:r w:rsidR="006E0A85">
        <w:t xml:space="preserve"> with</w:t>
      </w:r>
      <w:r w:rsidRPr="008E0585">
        <w:t xml:space="preserve"> the presentation of strong climate </w:t>
      </w:r>
      <w:r w:rsidR="006E0A85">
        <w:t>claims</w:t>
      </w:r>
      <w:r w:rsidRPr="008E0585">
        <w:t xml:space="preserve"> against Switzerland and Norway at the European </w:t>
      </w:r>
      <w:r w:rsidR="00366DF0">
        <w:t>C</w:t>
      </w:r>
      <w:r w:rsidRPr="008E0585">
        <w:t xml:space="preserve">ourt </w:t>
      </w:r>
      <w:r w:rsidR="00366DF0">
        <w:t>of H</w:t>
      </w:r>
      <w:r w:rsidRPr="008E0585">
        <w:t>uman Rights</w:t>
      </w:r>
      <w:r w:rsidR="006E0A85">
        <w:t xml:space="preserve">, </w:t>
      </w:r>
      <w:r w:rsidR="00E92B18">
        <w:t>and</w:t>
      </w:r>
      <w:r w:rsidRPr="008E0585">
        <w:t xml:space="preserve"> advising on possible future </w:t>
      </w:r>
      <w:r w:rsidR="00366DF0">
        <w:t xml:space="preserve">strategic climate </w:t>
      </w:r>
      <w:r w:rsidRPr="008E0585">
        <w:t>litigation.</w:t>
      </w:r>
      <w:r w:rsidR="00366DF0">
        <w:t xml:space="preserve"> </w:t>
      </w:r>
      <w:r w:rsidR="00623AFB">
        <w:t>T</w:t>
      </w:r>
      <w:r w:rsidR="00366DF0">
        <w:t xml:space="preserve">he </w:t>
      </w:r>
      <w:r w:rsidR="00623AFB">
        <w:t xml:space="preserve">recent communication of the </w:t>
      </w:r>
      <w:r w:rsidR="00366DF0">
        <w:t xml:space="preserve">Norway </w:t>
      </w:r>
      <w:r w:rsidR="00A47AC5">
        <w:t xml:space="preserve">ECtHR </w:t>
      </w:r>
      <w:r w:rsidR="00366DF0">
        <w:t xml:space="preserve">case </w:t>
      </w:r>
      <w:r w:rsidR="00623AFB">
        <w:t xml:space="preserve">is </w:t>
      </w:r>
      <w:r w:rsidR="002C2EE8">
        <w:t xml:space="preserve">indicative of </w:t>
      </w:r>
      <w:r w:rsidR="0021258A">
        <w:t xml:space="preserve">what is likely to be a busy year </w:t>
      </w:r>
      <w:r w:rsidR="00623AFB">
        <w:t>for climate justice</w:t>
      </w:r>
      <w:r w:rsidR="00A47AC5">
        <w:t xml:space="preserve"> and we look forward to developing work in this area</w:t>
      </w:r>
      <w:r w:rsidR="0021258A">
        <w:t>.</w:t>
      </w:r>
    </w:p>
    <w:p w14:paraId="7BBBB46F" w14:textId="40F8FBEC" w:rsidR="008E0585" w:rsidRPr="009547A3" w:rsidRDefault="008E0585" w:rsidP="006E0A85">
      <w:pPr>
        <w:numPr>
          <w:ilvl w:val="0"/>
          <w:numId w:val="2"/>
        </w:numPr>
        <w:jc w:val="both"/>
        <w:rPr>
          <w:b/>
          <w:bCs/>
          <w:u w:val="single"/>
        </w:rPr>
      </w:pPr>
      <w:r w:rsidRPr="009547A3">
        <w:rPr>
          <w:b/>
          <w:bCs/>
          <w:u w:val="single"/>
        </w:rPr>
        <w:t xml:space="preserve">New focus on deforestation in Latin America </w:t>
      </w:r>
      <w:r w:rsidR="00B1204C" w:rsidRPr="009547A3">
        <w:rPr>
          <w:b/>
          <w:bCs/>
          <w:u w:val="single"/>
        </w:rPr>
        <w:t>(</w:t>
      </w:r>
      <w:r w:rsidRPr="009547A3">
        <w:rPr>
          <w:b/>
          <w:bCs/>
          <w:u w:val="single"/>
        </w:rPr>
        <w:t>with CCCA</w:t>
      </w:r>
      <w:r w:rsidR="00B1204C" w:rsidRPr="009547A3">
        <w:rPr>
          <w:b/>
          <w:bCs/>
          <w:u w:val="single"/>
        </w:rPr>
        <w:t>)</w:t>
      </w:r>
    </w:p>
    <w:p w14:paraId="7CD7F612" w14:textId="4CA193C0" w:rsidR="002B22AA" w:rsidRPr="002B22AA" w:rsidRDefault="008E0585" w:rsidP="006E0A85">
      <w:pPr>
        <w:jc w:val="both"/>
      </w:pPr>
      <w:r w:rsidRPr="008E0585">
        <w:t>The alarmingly rapid rate of deforestation of the Amazon is a key contributor to the climate crisis and closely linked to a host other human rights violations</w:t>
      </w:r>
      <w:r w:rsidR="0081766B">
        <w:t xml:space="preserve"> of indigenous peoples and environmental defenders</w:t>
      </w:r>
      <w:r w:rsidRPr="008E0585">
        <w:t xml:space="preserve">. </w:t>
      </w:r>
      <w:r w:rsidR="006E0A85">
        <w:t xml:space="preserve">Tackling it requires innovative approaches and engaging with emerging legal and advocacy tools. </w:t>
      </w:r>
      <w:r w:rsidRPr="008E0585">
        <w:t xml:space="preserve">A project was launched this year by </w:t>
      </w:r>
      <w:r w:rsidR="005403E1">
        <w:t>the Centre for Climate Crime Analysis</w:t>
      </w:r>
      <w:r w:rsidR="00B1204C" w:rsidRPr="00B1204C">
        <w:t xml:space="preserve"> </w:t>
      </w:r>
      <w:r w:rsidR="00B1204C">
        <w:t>(</w:t>
      </w:r>
      <w:hyperlink r:id="rId19" w:history="1">
        <w:r w:rsidR="00B1204C" w:rsidRPr="00A9546F">
          <w:rPr>
            <w:rStyle w:val="Hyperlink"/>
          </w:rPr>
          <w:t>CCCA</w:t>
        </w:r>
      </w:hyperlink>
      <w:r w:rsidR="005403E1">
        <w:t xml:space="preserve">) </w:t>
      </w:r>
      <w:r w:rsidRPr="008E0585">
        <w:t xml:space="preserve">to explore and enable creative strategic litigation and advocacy to </w:t>
      </w:r>
      <w:r w:rsidR="0081766B">
        <w:t xml:space="preserve">counter the drivers of </w:t>
      </w:r>
      <w:r w:rsidR="002B22AA">
        <w:t xml:space="preserve">Amazonian </w:t>
      </w:r>
      <w:r w:rsidRPr="008E0585">
        <w:t xml:space="preserve">deforestation, with an emphasis on thwarting </w:t>
      </w:r>
      <w:r w:rsidR="0081766B">
        <w:t xml:space="preserve">the role of international corporations, investors and </w:t>
      </w:r>
      <w:r w:rsidRPr="008E0585">
        <w:t>market</w:t>
      </w:r>
      <w:r w:rsidR="0081766B">
        <w:t xml:space="preserve">s. </w:t>
      </w:r>
      <w:r w:rsidR="002B22AA" w:rsidRPr="002B22AA">
        <w:t xml:space="preserve"> It is a </w:t>
      </w:r>
      <w:r w:rsidR="002B22AA" w:rsidRPr="002B22AA">
        <w:lastRenderedPageBreak/>
        <w:t>pleasure to be part of this team engaged in legal analysis and developing litigation and advocacy opportunities, which we hope to pursue in the course of 2022-3.</w:t>
      </w:r>
    </w:p>
    <w:p w14:paraId="1DA4F356" w14:textId="6ED18838" w:rsidR="008E0585" w:rsidRPr="009547A3" w:rsidRDefault="002366BD" w:rsidP="006E0A85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 w:rsidRPr="009547A3">
        <w:rPr>
          <w:b/>
          <w:bCs/>
          <w:u w:val="single"/>
        </w:rPr>
        <w:t xml:space="preserve">Advice on Emerging </w:t>
      </w:r>
      <w:r w:rsidR="006F2D80" w:rsidRPr="009547A3">
        <w:rPr>
          <w:b/>
          <w:bCs/>
          <w:u w:val="single"/>
        </w:rPr>
        <w:t xml:space="preserve">Rule of law &amp; </w:t>
      </w:r>
      <w:r w:rsidRPr="009547A3">
        <w:rPr>
          <w:b/>
          <w:bCs/>
          <w:u w:val="single"/>
        </w:rPr>
        <w:t xml:space="preserve">Accountability challenges relating to </w:t>
      </w:r>
      <w:r w:rsidR="006F2D80" w:rsidRPr="009547A3">
        <w:rPr>
          <w:b/>
          <w:bCs/>
          <w:u w:val="single"/>
        </w:rPr>
        <w:t>Non-state Actor</w:t>
      </w:r>
      <w:r w:rsidRPr="009547A3">
        <w:rPr>
          <w:b/>
          <w:bCs/>
          <w:u w:val="single"/>
        </w:rPr>
        <w:t xml:space="preserve"> Prosecutions</w:t>
      </w:r>
      <w:r w:rsidR="006F2D80" w:rsidRPr="009547A3">
        <w:rPr>
          <w:b/>
          <w:bCs/>
          <w:u w:val="single"/>
        </w:rPr>
        <w:t xml:space="preserve"> in North East Syria </w:t>
      </w:r>
    </w:p>
    <w:p w14:paraId="25DF1515" w14:textId="31AE6E41" w:rsidR="008E0585" w:rsidRPr="008E0585" w:rsidRDefault="00301E27" w:rsidP="006E0A85">
      <w:pPr>
        <w:jc w:val="both"/>
      </w:pPr>
      <w:r>
        <w:t>At the request of the European Institute for Peace (</w:t>
      </w:r>
      <w:r w:rsidRPr="008E0585">
        <w:t>EIP</w:t>
      </w:r>
      <w:r>
        <w:t>), t</w:t>
      </w:r>
      <w:r w:rsidR="008E0585" w:rsidRPr="008E0585">
        <w:t xml:space="preserve">wo substantial pieces </w:t>
      </w:r>
      <w:r w:rsidR="007178F1">
        <w:t>of i</w:t>
      </w:r>
      <w:r w:rsidR="007178F1" w:rsidRPr="00A83CDD">
        <w:t>nternational</w:t>
      </w:r>
      <w:r w:rsidR="008E0585" w:rsidRPr="008E0585">
        <w:t xml:space="preserve"> legal advice were provided</w:t>
      </w:r>
      <w:r w:rsidR="00A83CDD">
        <w:t xml:space="preserve"> in relation to </w:t>
      </w:r>
      <w:r w:rsidR="006E0A85">
        <w:t>proposed</w:t>
      </w:r>
      <w:r>
        <w:t xml:space="preserve"> prosecutions </w:t>
      </w:r>
      <w:r w:rsidR="006E0A85">
        <w:t>of ISIS</w:t>
      </w:r>
      <w:r w:rsidR="00220EEA">
        <w:t>-</w:t>
      </w:r>
      <w:r w:rsidR="006E0A85">
        <w:t xml:space="preserve">related crimes </w:t>
      </w:r>
      <w:r>
        <w:t xml:space="preserve">by the </w:t>
      </w:r>
      <w:r w:rsidRPr="00220EEA">
        <w:rPr>
          <w:i/>
          <w:iCs/>
        </w:rPr>
        <w:t>de facto</w:t>
      </w:r>
      <w:r>
        <w:t xml:space="preserve"> Kurdish </w:t>
      </w:r>
      <w:r w:rsidR="00161633">
        <w:t>authorities (the ‘</w:t>
      </w:r>
      <w:r w:rsidR="007178F1" w:rsidRPr="00A83CDD">
        <w:t>Autonomous Administration</w:t>
      </w:r>
      <w:r w:rsidR="007178F1">
        <w:t>’</w:t>
      </w:r>
      <w:r w:rsidR="00161633">
        <w:t>)</w:t>
      </w:r>
      <w:r w:rsidR="007178F1">
        <w:t xml:space="preserve"> </w:t>
      </w:r>
      <w:r>
        <w:t>in control of N</w:t>
      </w:r>
      <w:r w:rsidR="00161633">
        <w:t>orth East Syria</w:t>
      </w:r>
      <w:r w:rsidR="007178F1">
        <w:t xml:space="preserve">. </w:t>
      </w:r>
      <w:r w:rsidR="00A83CDD" w:rsidRPr="00A83CDD">
        <w:t>The</w:t>
      </w:r>
      <w:r w:rsidR="007178F1">
        <w:t xml:space="preserve"> first</w:t>
      </w:r>
      <w:r w:rsidR="00161633">
        <w:t xml:space="preserve"> advice</w:t>
      </w:r>
      <w:r w:rsidR="007178F1">
        <w:t xml:space="preserve"> </w:t>
      </w:r>
      <w:r w:rsidR="006E0A85">
        <w:t xml:space="preserve">(available </w:t>
      </w:r>
      <w:hyperlink r:id="rId20" w:history="1">
        <w:r w:rsidR="006E0A85" w:rsidRPr="001D69E3">
          <w:rPr>
            <w:rStyle w:val="Hyperlink"/>
          </w:rPr>
          <w:t>here</w:t>
        </w:r>
      </w:hyperlink>
      <w:r w:rsidR="006E0A85">
        <w:t xml:space="preserve">) </w:t>
      </w:r>
      <w:r w:rsidR="007178F1">
        <w:t xml:space="preserve">focused on whether </w:t>
      </w:r>
      <w:r>
        <w:t>non-state actor</w:t>
      </w:r>
      <w:r w:rsidR="007178F1">
        <w:t>s can investigate and prosecute consistently with</w:t>
      </w:r>
      <w:r>
        <w:t xml:space="preserve"> international law, </w:t>
      </w:r>
      <w:r w:rsidR="007178F1">
        <w:t>for which crimes and according to what standards</w:t>
      </w:r>
      <w:r w:rsidR="00161633">
        <w:t>, as well as the implications for third state cooperation</w:t>
      </w:r>
      <w:r w:rsidR="007178F1">
        <w:t xml:space="preserve">. </w:t>
      </w:r>
      <w:r w:rsidR="006E0A85">
        <w:t>Having advised in the affirmative, t</w:t>
      </w:r>
      <w:r w:rsidR="007178F1">
        <w:t xml:space="preserve">he second follow up advice focused in more detail on what the requirements of </w:t>
      </w:r>
      <w:r w:rsidR="007178F1" w:rsidRPr="00A83CDD">
        <w:t>fair trial before an independent, impartial and competent tribunal</w:t>
      </w:r>
      <w:r w:rsidR="007178F1">
        <w:t xml:space="preserve"> mean, and </w:t>
      </w:r>
      <w:r w:rsidR="006E0A85">
        <w:t xml:space="preserve">the real </w:t>
      </w:r>
      <w:r w:rsidR="007178F1">
        <w:t>challenges posed in the context of ISIS suspects detained in the notorious al Hol detention camp.</w:t>
      </w:r>
      <w:r w:rsidR="006A4524">
        <w:t xml:space="preserve"> This </w:t>
      </w:r>
      <w:r w:rsidR="005A3CDB">
        <w:t xml:space="preserve">advice </w:t>
      </w:r>
      <w:r w:rsidR="006A4524">
        <w:t>is also</w:t>
      </w:r>
      <w:r w:rsidR="005A3CDB">
        <w:t xml:space="preserve"> now available </w:t>
      </w:r>
      <w:hyperlink r:id="rId21" w:history="1">
        <w:r w:rsidR="005A3CDB" w:rsidRPr="001D69E3">
          <w:rPr>
            <w:rStyle w:val="Hyperlink"/>
          </w:rPr>
          <w:t>here</w:t>
        </w:r>
      </w:hyperlink>
      <w:r w:rsidR="005A3CDB">
        <w:t>.</w:t>
      </w:r>
    </w:p>
    <w:p w14:paraId="7C64557C" w14:textId="403937A2" w:rsidR="00274F8D" w:rsidRPr="009547A3" w:rsidRDefault="00274F8D" w:rsidP="006E0A85">
      <w:pPr>
        <w:pStyle w:val="ListParagraph"/>
        <w:numPr>
          <w:ilvl w:val="0"/>
          <w:numId w:val="6"/>
        </w:numPr>
        <w:jc w:val="both"/>
        <w:rPr>
          <w:b/>
          <w:bCs/>
          <w:u w:val="single"/>
        </w:rPr>
      </w:pPr>
      <w:r w:rsidRPr="009547A3">
        <w:rPr>
          <w:b/>
          <w:bCs/>
          <w:u w:val="single"/>
        </w:rPr>
        <w:t>Litigation challenging the d</w:t>
      </w:r>
      <w:r w:rsidR="00A75BD1" w:rsidRPr="009547A3">
        <w:rPr>
          <w:b/>
          <w:bCs/>
          <w:u w:val="single"/>
        </w:rPr>
        <w:t>ismantling</w:t>
      </w:r>
      <w:r w:rsidRPr="009547A3">
        <w:rPr>
          <w:b/>
          <w:bCs/>
          <w:u w:val="single"/>
        </w:rPr>
        <w:t xml:space="preserve"> of democracy in Turkey </w:t>
      </w:r>
      <w:r w:rsidR="009547A3" w:rsidRPr="009547A3">
        <w:rPr>
          <w:b/>
          <w:bCs/>
          <w:u w:val="single"/>
        </w:rPr>
        <w:t>(</w:t>
      </w:r>
      <w:r w:rsidRPr="009547A3">
        <w:rPr>
          <w:b/>
          <w:bCs/>
          <w:u w:val="single"/>
        </w:rPr>
        <w:t>with TLSP</w:t>
      </w:r>
      <w:r w:rsidR="009547A3" w:rsidRPr="009547A3">
        <w:rPr>
          <w:b/>
          <w:bCs/>
          <w:u w:val="single"/>
        </w:rPr>
        <w:t>)</w:t>
      </w:r>
    </w:p>
    <w:p w14:paraId="5B30FB30" w14:textId="67CF4455" w:rsidR="00220EEA" w:rsidRDefault="00220EEA" w:rsidP="00220EEA">
      <w:pPr>
        <w:jc w:val="both"/>
      </w:pPr>
      <w:r w:rsidRPr="008E0585">
        <w:t xml:space="preserve">It was a pleasure to continue to </w:t>
      </w:r>
      <w:r>
        <w:t xml:space="preserve">work closely with </w:t>
      </w:r>
      <w:r w:rsidRPr="008E0585">
        <w:t xml:space="preserve">the Turkey </w:t>
      </w:r>
      <w:r>
        <w:t>L</w:t>
      </w:r>
      <w:r w:rsidRPr="008E0585">
        <w:t xml:space="preserve">itigation </w:t>
      </w:r>
      <w:r>
        <w:t>S</w:t>
      </w:r>
      <w:r w:rsidRPr="008E0585">
        <w:t xml:space="preserve">upport </w:t>
      </w:r>
      <w:r>
        <w:t>P</w:t>
      </w:r>
      <w:r w:rsidRPr="008E0585">
        <w:t>roject</w:t>
      </w:r>
      <w:r>
        <w:t xml:space="preserve"> (</w:t>
      </w:r>
      <w:hyperlink r:id="rId22" w:history="1">
        <w:r w:rsidRPr="00636554">
          <w:rPr>
            <w:rStyle w:val="Hyperlink"/>
          </w:rPr>
          <w:t>TLSP</w:t>
        </w:r>
      </w:hyperlink>
      <w:r>
        <w:t>) this year</w:t>
      </w:r>
      <w:r w:rsidRPr="00623AFB">
        <w:t xml:space="preserve"> </w:t>
      </w:r>
      <w:r>
        <w:t xml:space="preserve">(as co-project supervisor alongside Phil Leach) and with </w:t>
      </w:r>
      <w:r w:rsidRPr="008E0585">
        <w:t xml:space="preserve">lawyers and civil society actors in Turkey </w:t>
      </w:r>
      <w:r>
        <w:t xml:space="preserve">to develop </w:t>
      </w:r>
      <w:r w:rsidRPr="008E0585">
        <w:t xml:space="preserve">effective </w:t>
      </w:r>
      <w:r>
        <w:t>responses to</w:t>
      </w:r>
      <w:r w:rsidRPr="008E0585">
        <w:t xml:space="preserve"> the unfolding human rights crisis in the country. </w:t>
      </w:r>
      <w:r>
        <w:t>Responding</w:t>
      </w:r>
      <w:r w:rsidRPr="008E0585">
        <w:t xml:space="preserve"> to</w:t>
      </w:r>
      <w:r>
        <w:t xml:space="preserve"> growing targeting of diverse </w:t>
      </w:r>
      <w:r w:rsidRPr="008E0585">
        <w:t>democra</w:t>
      </w:r>
      <w:r>
        <w:t xml:space="preserve">tic actors, litigation work has </w:t>
      </w:r>
      <w:r w:rsidRPr="008E0585">
        <w:t xml:space="preserve">focused on </w:t>
      </w:r>
      <w:r>
        <w:t xml:space="preserve">e.g. </w:t>
      </w:r>
      <w:r w:rsidRPr="008E0585">
        <w:t xml:space="preserve">repression of human rights defenders, </w:t>
      </w:r>
      <w:r w:rsidRPr="00E36D2B">
        <w:t xml:space="preserve">disqualification of elected </w:t>
      </w:r>
      <w:r>
        <w:t xml:space="preserve">politicians, dismissal of public sector workers </w:t>
      </w:r>
      <w:r w:rsidRPr="00E319D1">
        <w:t xml:space="preserve">and academics. </w:t>
      </w:r>
      <w:r w:rsidRPr="00407BCC">
        <w:t xml:space="preserve">It has involved </w:t>
      </w:r>
      <w:r w:rsidRPr="00E319D1">
        <w:t xml:space="preserve"> support for new cases,  multiple third party interventions before the ECtHR on a range of cross-cutting issues (such as lack of effective remedies or the impermissible scope of Turkish anti-terrorism laws) and increased emphasis on post-judgment implementation work.</w:t>
      </w:r>
      <w:r>
        <w:t xml:space="preserve"> Coordinated legal s</w:t>
      </w:r>
      <w:r w:rsidRPr="008E0585">
        <w:t xml:space="preserve">ubmissions </w:t>
      </w:r>
      <w:r>
        <w:t xml:space="preserve">and advocacy by TLSP and other NGOs (eg. HRW, ICJ, Article 19 and Amnesty) in relation to flagrant refusal to implement the ECHR order to release </w:t>
      </w:r>
      <w:r w:rsidRPr="008E0585">
        <w:t xml:space="preserve">detained </w:t>
      </w:r>
      <w:r w:rsidRPr="00E319D1">
        <w:t xml:space="preserve">philanthropist </w:t>
      </w:r>
      <w:r w:rsidRPr="008143BB">
        <w:rPr>
          <w:i/>
          <w:iCs/>
        </w:rPr>
        <w:t>Osman Kavala</w:t>
      </w:r>
      <w:r w:rsidRPr="00E319D1">
        <w:t xml:space="preserve"> and Kurdish politician </w:t>
      </w:r>
      <w:r w:rsidRPr="008143BB">
        <w:rPr>
          <w:i/>
          <w:iCs/>
        </w:rPr>
        <w:t>Selahattin Demirtas</w:t>
      </w:r>
      <w:r w:rsidRPr="00E319D1">
        <w:t xml:space="preserve"> </w:t>
      </w:r>
      <w:r>
        <w:t>appeared to pay dividends when in December 2021 the COM took the almost unprecedented step of beginning ‘infringement proceedings’ against Turkey for non-compliance (</w:t>
      </w:r>
      <w:hyperlink r:id="rId23" w:history="1">
        <w:r w:rsidRPr="005D5C6C">
          <w:rPr>
            <w:rStyle w:val="Hyperlink"/>
          </w:rPr>
          <w:t>here</w:t>
        </w:r>
      </w:hyperlink>
      <w:r>
        <w:t>).</w:t>
      </w:r>
    </w:p>
    <w:p w14:paraId="2B78832B" w14:textId="283AE32C" w:rsidR="009547A3" w:rsidRPr="009547A3" w:rsidRDefault="009547A3" w:rsidP="00E27FE2">
      <w:pPr>
        <w:pStyle w:val="ListParagraph"/>
        <w:numPr>
          <w:ilvl w:val="0"/>
          <w:numId w:val="8"/>
        </w:numPr>
        <w:spacing w:after="0"/>
        <w:jc w:val="both"/>
        <w:rPr>
          <w:b/>
          <w:bCs/>
          <w:i/>
          <w:iCs/>
        </w:rPr>
      </w:pPr>
      <w:r w:rsidRPr="009547A3">
        <w:rPr>
          <w:b/>
          <w:bCs/>
          <w:i/>
          <w:iCs/>
        </w:rPr>
        <w:t>Academic for Peace intervention</w:t>
      </w:r>
    </w:p>
    <w:p w14:paraId="01215242" w14:textId="0E29C774" w:rsidR="00220EEA" w:rsidRPr="008E0585" w:rsidRDefault="000C2960" w:rsidP="009F39A1">
      <w:pPr>
        <w:spacing w:after="120"/>
        <w:jc w:val="both"/>
      </w:pPr>
      <w:r>
        <w:t>One</w:t>
      </w:r>
      <w:r w:rsidR="00220EEA">
        <w:t xml:space="preserve"> </w:t>
      </w:r>
      <w:r>
        <w:t>interesting</w:t>
      </w:r>
      <w:r w:rsidR="00220EEA">
        <w:t xml:space="preserve"> collaborative initiative was a third party intervention before</w:t>
      </w:r>
      <w:r w:rsidR="00220EEA" w:rsidRPr="008E0585">
        <w:t xml:space="preserve"> the </w:t>
      </w:r>
      <w:r w:rsidR="00220EEA">
        <w:t>ECtHR</w:t>
      </w:r>
      <w:r w:rsidR="00220EEA" w:rsidRPr="008E0585">
        <w:t xml:space="preserve"> </w:t>
      </w:r>
      <w:r w:rsidR="00220EEA">
        <w:t xml:space="preserve">written and presented on behalf of a group of concerned academics around the globe </w:t>
      </w:r>
      <w:r w:rsidR="00220EEA" w:rsidRPr="008E0585">
        <w:t xml:space="preserve">in the </w:t>
      </w:r>
      <w:r w:rsidR="00220EEA">
        <w:t>‘</w:t>
      </w:r>
      <w:r w:rsidR="00220EEA" w:rsidRPr="008E0585">
        <w:t>academics for peace</w:t>
      </w:r>
      <w:r w:rsidR="00220EEA">
        <w:t>’ (</w:t>
      </w:r>
      <w:r w:rsidR="00220EEA" w:rsidRPr="00CB5CCC">
        <w:rPr>
          <w:bCs/>
          <w:i/>
          <w:iCs/>
        </w:rPr>
        <w:t xml:space="preserve">Kamuran Akın </w:t>
      </w:r>
      <w:r w:rsidR="00220EEA">
        <w:rPr>
          <w:bCs/>
          <w:i/>
          <w:iCs/>
        </w:rPr>
        <w:t xml:space="preserve">&amp; 42 others </w:t>
      </w:r>
      <w:r w:rsidR="00220EEA" w:rsidRPr="00CB5CCC">
        <w:rPr>
          <w:bCs/>
          <w:i/>
          <w:iCs/>
        </w:rPr>
        <w:t>v Turkey</w:t>
      </w:r>
      <w:r w:rsidR="00220EEA">
        <w:rPr>
          <w:bCs/>
        </w:rPr>
        <w:t xml:space="preserve">) </w:t>
      </w:r>
      <w:r w:rsidR="00220EEA" w:rsidRPr="008E0585">
        <w:t>case</w:t>
      </w:r>
      <w:r w:rsidR="00220EEA">
        <w:t>. The brief addressed the significance and nature of academic freedom, which is under serious attack in Turkey and globally. Background and the brief are</w:t>
      </w:r>
      <w:r w:rsidR="00220EEA" w:rsidRPr="008E0585">
        <w:t xml:space="preserve"> </w:t>
      </w:r>
      <w:hyperlink r:id="rId24" w:history="1">
        <w:r w:rsidR="00220EEA" w:rsidRPr="00C51BF2">
          <w:rPr>
            <w:rStyle w:val="Hyperlink"/>
          </w:rPr>
          <w:t>here</w:t>
        </w:r>
      </w:hyperlink>
      <w:r w:rsidR="00220EEA" w:rsidRPr="008E0585">
        <w:t>.</w:t>
      </w:r>
      <w:r w:rsidR="00220EEA">
        <w:t xml:space="preserve"> Thanks to </w:t>
      </w:r>
      <w:r w:rsidR="00743B24">
        <w:t>the</w:t>
      </w:r>
      <w:r w:rsidR="00220EEA">
        <w:t xml:space="preserve"> academic experts in human rights and academic freedom who </w:t>
      </w:r>
      <w:r>
        <w:t xml:space="preserve">endorsed </w:t>
      </w:r>
      <w:r w:rsidR="00220EEA">
        <w:t>this brief.</w:t>
      </w:r>
    </w:p>
    <w:p w14:paraId="3EE88A36" w14:textId="2082D789" w:rsidR="00307DCA" w:rsidRPr="009F39A1" w:rsidRDefault="001A76E8" w:rsidP="009F39A1">
      <w:pPr>
        <w:spacing w:after="120"/>
        <w:jc w:val="both"/>
        <w:rPr>
          <w:u w:val="single"/>
        </w:rPr>
      </w:pPr>
      <w:r w:rsidRPr="009F39A1">
        <w:rPr>
          <w:b/>
          <w:bCs/>
          <w:u w:val="single"/>
        </w:rPr>
        <w:t>Publications</w:t>
      </w:r>
      <w:r w:rsidR="00DC348F" w:rsidRPr="009F39A1">
        <w:rPr>
          <w:b/>
          <w:bCs/>
          <w:u w:val="single"/>
        </w:rPr>
        <w:t>, experience-sharing</w:t>
      </w:r>
      <w:r w:rsidRPr="009F39A1">
        <w:rPr>
          <w:b/>
          <w:bCs/>
          <w:u w:val="single"/>
        </w:rPr>
        <w:t xml:space="preserve"> &amp; standard setting</w:t>
      </w:r>
      <w:r w:rsidR="00307DCA" w:rsidRPr="009F39A1">
        <w:rPr>
          <w:u w:val="single"/>
        </w:rPr>
        <w:t xml:space="preserve"> </w:t>
      </w:r>
    </w:p>
    <w:p w14:paraId="436DDB47" w14:textId="023E88FF" w:rsidR="001A76E8" w:rsidRPr="001A76E8" w:rsidRDefault="004A5648" w:rsidP="006E0A85">
      <w:pPr>
        <w:jc w:val="both"/>
        <w:rPr>
          <w:b/>
          <w:bCs/>
        </w:rPr>
      </w:pPr>
      <w:r>
        <w:t>T</w:t>
      </w:r>
      <w:r w:rsidR="00307DCA">
        <w:t>argeted publications</w:t>
      </w:r>
      <w:r>
        <w:t>, reflecting on issues arising in practice</w:t>
      </w:r>
      <w:r w:rsidR="00743B24">
        <w:t>,</w:t>
      </w:r>
      <w:r>
        <w:t xml:space="preserve"> and at times bridging gaps between academic research and practice, </w:t>
      </w:r>
      <w:r w:rsidR="009547A3">
        <w:t>is always</w:t>
      </w:r>
      <w:r w:rsidR="00307DCA">
        <w:t xml:space="preserve"> </w:t>
      </w:r>
      <w:r>
        <w:t xml:space="preserve">part of HRiP’s work. </w:t>
      </w:r>
      <w:r w:rsidR="00307DCA">
        <w:t xml:space="preserve"> Following the publication of</w:t>
      </w:r>
      <w:r>
        <w:t xml:space="preserve"> </w:t>
      </w:r>
      <w:r w:rsidR="00307DCA">
        <w:t>book</w:t>
      </w:r>
      <w:r>
        <w:t>s</w:t>
      </w:r>
      <w:r w:rsidR="00307DCA">
        <w:t xml:space="preserve"> on the </w:t>
      </w:r>
      <w:hyperlink r:id="rId25" w:history="1">
        <w:r w:rsidR="00307DCA" w:rsidRPr="005F7F38">
          <w:rPr>
            <w:rStyle w:val="Hyperlink"/>
          </w:rPr>
          <w:t>law applicable in armed conflict</w:t>
        </w:r>
      </w:hyperlink>
      <w:r>
        <w:t xml:space="preserve"> and on </w:t>
      </w:r>
      <w:hyperlink r:id="rId26" w:history="1">
        <w:r w:rsidRPr="005D5C6C">
          <w:rPr>
            <w:rStyle w:val="Hyperlink"/>
          </w:rPr>
          <w:t>strategic human rights litigation</w:t>
        </w:r>
      </w:hyperlink>
      <w:r>
        <w:t xml:space="preserve"> in the past couple of years, in 2021 </w:t>
      </w:r>
      <w:r w:rsidR="00743B24">
        <w:t xml:space="preserve">I decided to shift to </w:t>
      </w:r>
      <w:r w:rsidR="002C1DA7">
        <w:t xml:space="preserve">shorter and more </w:t>
      </w:r>
      <w:r w:rsidR="00307DCA">
        <w:t>practical</w:t>
      </w:r>
      <w:r w:rsidR="002C1DA7">
        <w:t xml:space="preserve"> publications</w:t>
      </w:r>
      <w:r>
        <w:t xml:space="preserve"> on key human rights </w:t>
      </w:r>
      <w:r w:rsidR="009547A3">
        <w:t>challenges</w:t>
      </w:r>
      <w:r>
        <w:t>:</w:t>
      </w:r>
    </w:p>
    <w:p w14:paraId="68820A62" w14:textId="08EDCA07" w:rsidR="001A76E8" w:rsidRPr="001A76E8" w:rsidRDefault="001A76E8" w:rsidP="006E0A85">
      <w:pPr>
        <w:numPr>
          <w:ilvl w:val="0"/>
          <w:numId w:val="4"/>
        </w:numPr>
        <w:jc w:val="both"/>
      </w:pPr>
      <w:r w:rsidRPr="001A76E8">
        <w:t>In partnership with the International Commission of Jurists and others,</w:t>
      </w:r>
      <w:r w:rsidR="001247A3">
        <w:t xml:space="preserve"> HRiP</w:t>
      </w:r>
      <w:r w:rsidR="002C1DA7">
        <w:t xml:space="preserve"> co-</w:t>
      </w:r>
      <w:r w:rsidRPr="001A76E8">
        <w:t xml:space="preserve">wrote </w:t>
      </w:r>
      <w:r w:rsidR="004A5648">
        <w:t>‘</w:t>
      </w:r>
      <w:r w:rsidR="00475F9D" w:rsidRPr="00AD3BAA">
        <w:rPr>
          <w:b/>
          <w:bCs/>
          <w:i/>
          <w:iCs/>
        </w:rPr>
        <w:t>Counter-Terrorism and Human Rights</w:t>
      </w:r>
      <w:r w:rsidR="002C1DA7" w:rsidRPr="00AD3BAA">
        <w:rPr>
          <w:b/>
          <w:bCs/>
          <w:i/>
          <w:iCs/>
        </w:rPr>
        <w:t xml:space="preserve"> in the Courts: Guidance for judges</w:t>
      </w:r>
      <w:r w:rsidR="002C1DA7">
        <w:rPr>
          <w:i/>
          <w:iCs/>
        </w:rPr>
        <w:t xml:space="preserve"> </w:t>
      </w:r>
      <w:r w:rsidR="002C1DA7" w:rsidRPr="000445E7">
        <w:rPr>
          <w:b/>
          <w:bCs/>
          <w:i/>
          <w:iCs/>
        </w:rPr>
        <w:t>prosecutors and lawyers</w:t>
      </w:r>
      <w:r w:rsidR="002C1DA7">
        <w:rPr>
          <w:i/>
          <w:iCs/>
        </w:rPr>
        <w:t xml:space="preserve"> </w:t>
      </w:r>
      <w:r w:rsidR="002C1DA7" w:rsidRPr="00692398">
        <w:rPr>
          <w:i/>
          <w:iCs/>
        </w:rPr>
        <w:t xml:space="preserve">on the </w:t>
      </w:r>
      <w:r w:rsidRPr="000445E7">
        <w:rPr>
          <w:i/>
          <w:iCs/>
        </w:rPr>
        <w:t xml:space="preserve">application of </w:t>
      </w:r>
      <w:r w:rsidR="002C1DA7" w:rsidRPr="000445E7">
        <w:rPr>
          <w:i/>
          <w:iCs/>
        </w:rPr>
        <w:t xml:space="preserve">EU directive </w:t>
      </w:r>
      <w:r w:rsidR="004A5648" w:rsidRPr="000445E7">
        <w:rPr>
          <w:i/>
          <w:iCs/>
        </w:rPr>
        <w:t xml:space="preserve">2017/541 </w:t>
      </w:r>
      <w:r w:rsidR="002C1DA7" w:rsidRPr="000445E7">
        <w:rPr>
          <w:i/>
          <w:iCs/>
        </w:rPr>
        <w:t>on counterterrorism</w:t>
      </w:r>
      <w:r w:rsidR="004A5648" w:rsidRPr="000445E7">
        <w:rPr>
          <w:i/>
          <w:iCs/>
        </w:rPr>
        <w:t xml:space="preserve">’ </w:t>
      </w:r>
      <w:hyperlink r:id="rId27" w:history="1">
        <w:r w:rsidR="005F7F38" w:rsidRPr="005F7F38">
          <w:rPr>
            <w:rStyle w:val="Hyperlink"/>
          </w:rPr>
          <w:t>here</w:t>
        </w:r>
      </w:hyperlink>
      <w:r w:rsidR="002C1DA7">
        <w:t xml:space="preserve">. The Guide addresses problematic </w:t>
      </w:r>
      <w:r w:rsidR="001247A3">
        <w:t>terrorism</w:t>
      </w:r>
      <w:r w:rsidR="009F39A1">
        <w:t>-</w:t>
      </w:r>
      <w:r w:rsidR="001247A3">
        <w:t xml:space="preserve">related </w:t>
      </w:r>
      <w:r w:rsidR="002C1DA7">
        <w:t>offences</w:t>
      </w:r>
      <w:r w:rsidR="009F39A1">
        <w:t xml:space="preserve"> </w:t>
      </w:r>
      <w:r w:rsidR="002C1DA7">
        <w:t>and</w:t>
      </w:r>
      <w:r w:rsidR="001247A3">
        <w:t xml:space="preserve"> </w:t>
      </w:r>
      <w:r w:rsidR="009F39A1">
        <w:t>their</w:t>
      </w:r>
      <w:r w:rsidR="001247A3">
        <w:t xml:space="preserve"> interpret</w:t>
      </w:r>
      <w:r w:rsidR="009F39A1">
        <w:t xml:space="preserve">ation </w:t>
      </w:r>
      <w:r w:rsidR="002C1DA7">
        <w:t>consistent</w:t>
      </w:r>
      <w:r w:rsidR="00743B24">
        <w:t>ly</w:t>
      </w:r>
      <w:r w:rsidR="002C1DA7">
        <w:t xml:space="preserve"> with international law</w:t>
      </w:r>
      <w:r w:rsidR="009F39A1">
        <w:t>. It</w:t>
      </w:r>
      <w:r w:rsidR="001247A3">
        <w:t xml:space="preserve"> followed trainings</w:t>
      </w:r>
      <w:r w:rsidR="00743B24">
        <w:t>/</w:t>
      </w:r>
      <w:r w:rsidR="001247A3">
        <w:t>judicial exchanges across the EU</w:t>
      </w:r>
      <w:r w:rsidR="00743B24">
        <w:t xml:space="preserve"> (2018-2020)</w:t>
      </w:r>
      <w:r w:rsidR="001247A3">
        <w:t>.</w:t>
      </w:r>
    </w:p>
    <w:p w14:paraId="43A55DC0" w14:textId="4BF9CCB8" w:rsidR="00AD3BAA" w:rsidRDefault="00743B24" w:rsidP="00700287">
      <w:pPr>
        <w:numPr>
          <w:ilvl w:val="0"/>
          <w:numId w:val="4"/>
        </w:numPr>
        <w:spacing w:after="0"/>
        <w:ind w:left="714" w:hanging="357"/>
        <w:jc w:val="both"/>
      </w:pPr>
      <w:r>
        <w:lastRenderedPageBreak/>
        <w:t>Pursuant to a</w:t>
      </w:r>
      <w:r w:rsidR="002C1DA7">
        <w:t xml:space="preserve"> r</w:t>
      </w:r>
      <w:r w:rsidR="001A76E8" w:rsidRPr="001A76E8">
        <w:t>esearch project</w:t>
      </w:r>
      <w:r w:rsidR="00AD3BAA">
        <w:t xml:space="preserve"> and forward-looking think piece</w:t>
      </w:r>
      <w:r w:rsidR="001247A3">
        <w:t xml:space="preserve"> </w:t>
      </w:r>
      <w:r w:rsidR="001A76E8" w:rsidRPr="001A76E8">
        <w:t>developed for the I</w:t>
      </w:r>
      <w:r w:rsidR="004F124B">
        <w:t>nst</w:t>
      </w:r>
      <w:r w:rsidR="001247A3">
        <w:t>i</w:t>
      </w:r>
      <w:r w:rsidR="004F124B">
        <w:t xml:space="preserve">tute for </w:t>
      </w:r>
      <w:r w:rsidR="001A76E8" w:rsidRPr="001A76E8">
        <w:t>S</w:t>
      </w:r>
      <w:r w:rsidR="004F124B">
        <w:t xml:space="preserve">ecurity </w:t>
      </w:r>
      <w:r w:rsidR="001A76E8" w:rsidRPr="001A76E8">
        <w:t>S</w:t>
      </w:r>
      <w:r w:rsidR="004F124B">
        <w:t>tudies</w:t>
      </w:r>
      <w:r w:rsidR="001A76E8" w:rsidRPr="001A76E8">
        <w:t xml:space="preserve"> </w:t>
      </w:r>
      <w:r w:rsidR="001247A3">
        <w:t>in Africa</w:t>
      </w:r>
      <w:r>
        <w:t>, I</w:t>
      </w:r>
      <w:r w:rsidR="001247A3">
        <w:t xml:space="preserve"> </w:t>
      </w:r>
      <w:r w:rsidR="00AD3BAA">
        <w:t xml:space="preserve">spoke to actors across Africa and globally to identify </w:t>
      </w:r>
      <w:r w:rsidR="001247A3">
        <w:t>‘</w:t>
      </w:r>
      <w:r w:rsidR="001247A3" w:rsidRPr="00AD3BAA">
        <w:rPr>
          <w:b/>
          <w:bCs/>
          <w:i/>
          <w:iCs/>
        </w:rPr>
        <w:t>G</w:t>
      </w:r>
      <w:r w:rsidR="001A76E8" w:rsidRPr="00AD3BAA">
        <w:rPr>
          <w:b/>
          <w:bCs/>
          <w:i/>
          <w:iCs/>
        </w:rPr>
        <w:t>lobal trends in counter-terrorism and their implications for Africa</w:t>
      </w:r>
      <w:r w:rsidR="001247A3">
        <w:t>’.</w:t>
      </w:r>
      <w:r w:rsidR="001A76E8" w:rsidRPr="001A76E8">
        <w:t xml:space="preserve"> The report will be published </w:t>
      </w:r>
      <w:r>
        <w:t>in</w:t>
      </w:r>
      <w:r w:rsidR="001A76E8" w:rsidRPr="001A76E8">
        <w:t xml:space="preserve"> 2022.</w:t>
      </w:r>
      <w:r w:rsidR="002C1DA7">
        <w:t xml:space="preserve"> </w:t>
      </w:r>
    </w:p>
    <w:p w14:paraId="2DF9CACB" w14:textId="77777777" w:rsidR="00AD3BAA" w:rsidRDefault="002C1DA7" w:rsidP="00700287">
      <w:pPr>
        <w:numPr>
          <w:ilvl w:val="0"/>
          <w:numId w:val="4"/>
        </w:numPr>
        <w:spacing w:after="0"/>
        <w:ind w:left="714" w:hanging="357"/>
        <w:jc w:val="both"/>
      </w:pPr>
      <w:r>
        <w:t>An</w:t>
      </w:r>
      <w:r w:rsidR="001A76E8" w:rsidRPr="001A76E8">
        <w:t xml:space="preserve"> updated </w:t>
      </w:r>
      <w:r w:rsidR="00D00C15" w:rsidRPr="00AD3BAA">
        <w:rPr>
          <w:b/>
          <w:bCs/>
          <w:i/>
          <w:iCs/>
        </w:rPr>
        <w:t>M</w:t>
      </w:r>
      <w:r w:rsidR="001A76E8" w:rsidRPr="00AD3BAA">
        <w:rPr>
          <w:b/>
          <w:bCs/>
          <w:i/>
          <w:iCs/>
        </w:rPr>
        <w:t xml:space="preserve">anual on </w:t>
      </w:r>
      <w:r w:rsidR="00D00C15" w:rsidRPr="00AD3BAA">
        <w:rPr>
          <w:b/>
          <w:bCs/>
          <w:i/>
          <w:iCs/>
        </w:rPr>
        <w:t>C</w:t>
      </w:r>
      <w:r w:rsidR="001A76E8" w:rsidRPr="00AD3BAA">
        <w:rPr>
          <w:b/>
          <w:bCs/>
          <w:i/>
          <w:iCs/>
        </w:rPr>
        <w:t xml:space="preserve">ounterterrorism </w:t>
      </w:r>
      <w:r w:rsidR="00D00C15" w:rsidRPr="00AD3BAA">
        <w:rPr>
          <w:b/>
          <w:bCs/>
          <w:i/>
          <w:iCs/>
        </w:rPr>
        <w:t xml:space="preserve">and </w:t>
      </w:r>
      <w:r w:rsidR="001A76E8" w:rsidRPr="00AD3BAA">
        <w:rPr>
          <w:b/>
          <w:bCs/>
          <w:i/>
          <w:iCs/>
        </w:rPr>
        <w:t>Human Rights</w:t>
      </w:r>
      <w:r w:rsidR="001A76E8" w:rsidRPr="001A76E8">
        <w:t xml:space="preserve"> </w:t>
      </w:r>
      <w:r w:rsidR="001247A3">
        <w:t xml:space="preserve">within the </w:t>
      </w:r>
      <w:r w:rsidR="001247A3" w:rsidRPr="001A76E8">
        <w:t>OSCE</w:t>
      </w:r>
      <w:r w:rsidR="001247A3">
        <w:t xml:space="preserve"> is being written with staff from </w:t>
      </w:r>
      <w:r w:rsidR="001A76E8" w:rsidRPr="001A76E8">
        <w:t>ODIHR</w:t>
      </w:r>
      <w:r w:rsidR="001247A3">
        <w:t xml:space="preserve"> and is also</w:t>
      </w:r>
      <w:r w:rsidR="00475F9D">
        <w:t xml:space="preserve"> due to be published in 2022/3</w:t>
      </w:r>
      <w:r w:rsidR="001A76E8" w:rsidRPr="001A76E8">
        <w:t>.</w:t>
      </w:r>
      <w:r>
        <w:t xml:space="preserve"> </w:t>
      </w:r>
    </w:p>
    <w:p w14:paraId="212A932F" w14:textId="5C74A4C4" w:rsidR="00AD3BAA" w:rsidRDefault="00AD3BAA" w:rsidP="00700287">
      <w:pPr>
        <w:numPr>
          <w:ilvl w:val="0"/>
          <w:numId w:val="4"/>
        </w:numPr>
        <w:spacing w:after="0"/>
        <w:jc w:val="both"/>
      </w:pPr>
      <w:r w:rsidRPr="00743B24">
        <w:rPr>
          <w:iCs/>
        </w:rPr>
        <w:t>A more academic piece co-authored with my colleague at Leiden University Larissa vd Herik, entitled</w:t>
      </w:r>
      <w:r w:rsidRPr="00C36C95">
        <w:t xml:space="preserve"> </w:t>
      </w:r>
      <w:r w:rsidRPr="00AD3BAA">
        <w:rPr>
          <w:b/>
          <w:bCs/>
          <w:i/>
        </w:rPr>
        <w:t>Terrorism and the Security Council</w:t>
      </w:r>
      <w:r w:rsidRPr="00AD3BAA">
        <w:rPr>
          <w:i/>
        </w:rPr>
        <w:t>: Unaccountable Actors and Unseen Threats appeared</w:t>
      </w:r>
      <w:r w:rsidRPr="00C36C95">
        <w:t xml:space="preserve"> in </w:t>
      </w:r>
      <w:r>
        <w:t xml:space="preserve">The Oxford Handbook of Global </w:t>
      </w:r>
      <w:r w:rsidRPr="00C36C95">
        <w:t>Security</w:t>
      </w:r>
      <w:r>
        <w:t xml:space="preserve"> and is</w:t>
      </w:r>
      <w:r w:rsidR="00012453">
        <w:t xml:space="preserve"> </w:t>
      </w:r>
      <w:hyperlink r:id="rId28" w:history="1">
        <w:r w:rsidR="00012453" w:rsidRPr="00012453">
          <w:rPr>
            <w:rStyle w:val="Hyperlink"/>
          </w:rPr>
          <w:t>here</w:t>
        </w:r>
      </w:hyperlink>
      <w:r w:rsidR="00012453">
        <w:t>.</w:t>
      </w:r>
    </w:p>
    <w:p w14:paraId="58D6C583" w14:textId="03DF7FB0" w:rsidR="001247A3" w:rsidRDefault="000B6605" w:rsidP="00700287">
      <w:pPr>
        <w:pStyle w:val="ListParagraph"/>
        <w:numPr>
          <w:ilvl w:val="0"/>
          <w:numId w:val="4"/>
        </w:numPr>
        <w:spacing w:after="0"/>
        <w:jc w:val="both"/>
      </w:pPr>
      <w:r w:rsidRPr="001247A3">
        <w:t>The</w:t>
      </w:r>
      <w:r w:rsidR="00743B24">
        <w:t xml:space="preserve"> controversial</w:t>
      </w:r>
      <w:r w:rsidRPr="001247A3">
        <w:t xml:space="preserve"> </w:t>
      </w:r>
      <w:r w:rsidRPr="00392231">
        <w:rPr>
          <w:b/>
          <w:bCs/>
          <w:i/>
          <w:iCs/>
        </w:rPr>
        <w:t>Extra-Territorial Scope</w:t>
      </w:r>
      <w:r w:rsidRPr="001247A3">
        <w:t xml:space="preserve"> of Human Rights Obligations was a key issue</w:t>
      </w:r>
      <w:r w:rsidR="001247A3">
        <w:t xml:space="preserve"> in practice this year</w:t>
      </w:r>
      <w:r w:rsidRPr="001247A3">
        <w:t xml:space="preserve">, </w:t>
      </w:r>
      <w:r w:rsidR="001247A3">
        <w:t xml:space="preserve">in light of </w:t>
      </w:r>
      <w:r w:rsidRPr="001247A3">
        <w:t xml:space="preserve">a range of </w:t>
      </w:r>
      <w:r w:rsidR="001247A3">
        <w:t xml:space="preserve">divergent </w:t>
      </w:r>
      <w:r w:rsidRPr="001247A3">
        <w:t xml:space="preserve">decisions of </w:t>
      </w:r>
      <w:r w:rsidR="001247A3">
        <w:t xml:space="preserve">human rights </w:t>
      </w:r>
      <w:r w:rsidRPr="001247A3">
        <w:t>courts</w:t>
      </w:r>
      <w:r w:rsidR="001247A3">
        <w:t>. Several publications explored and sought to clarify the issue and its implications in specific contexts:</w:t>
      </w:r>
    </w:p>
    <w:p w14:paraId="281FF018" w14:textId="38A85C82" w:rsidR="001247A3" w:rsidRDefault="001247A3" w:rsidP="00700287">
      <w:pPr>
        <w:pStyle w:val="ListParagraph"/>
        <w:numPr>
          <w:ilvl w:val="1"/>
          <w:numId w:val="4"/>
        </w:numPr>
        <w:spacing w:after="0"/>
        <w:jc w:val="both"/>
      </w:pPr>
      <w:r>
        <w:t>a</w:t>
      </w:r>
      <w:r w:rsidR="000B6605" w:rsidRPr="001247A3">
        <w:t xml:space="preserve"> chapter on </w:t>
      </w:r>
      <w:r w:rsidR="000B6605" w:rsidRPr="00AD3BAA">
        <w:rPr>
          <w:b/>
          <w:bCs/>
          <w:i/>
          <w:iCs/>
        </w:rPr>
        <w:t>Climate Change and the Extra-Territorial Scope of Human Rights</w:t>
      </w:r>
      <w:r w:rsidR="000B6605" w:rsidRPr="001247A3">
        <w:t xml:space="preserve"> </w:t>
      </w:r>
      <w:r w:rsidR="000B6605" w:rsidRPr="000445E7">
        <w:rPr>
          <w:b/>
          <w:bCs/>
          <w:i/>
          <w:iCs/>
        </w:rPr>
        <w:t>Obligations</w:t>
      </w:r>
      <w:r w:rsidR="000B6605" w:rsidRPr="001247A3">
        <w:t>: Global Threats and Fragmented Responses</w:t>
      </w:r>
      <w:r>
        <w:t xml:space="preserve"> </w:t>
      </w:r>
      <w:r w:rsidR="00743B24">
        <w:t xml:space="preserve">was </w:t>
      </w:r>
      <w:r>
        <w:t xml:space="preserve">published </w:t>
      </w:r>
      <w:r w:rsidR="000B6605" w:rsidRPr="001247A3">
        <w:t>in</w:t>
      </w:r>
      <w:r w:rsidR="00012453">
        <w:t xml:space="preserve"> </w:t>
      </w:r>
      <w:r w:rsidR="00012453" w:rsidRPr="00012453">
        <w:t xml:space="preserve">Furthering the </w:t>
      </w:r>
      <w:r w:rsidR="007A0EB1">
        <w:t>F</w:t>
      </w:r>
      <w:r w:rsidR="00012453" w:rsidRPr="00012453">
        <w:t xml:space="preserve">rontiers of </w:t>
      </w:r>
      <w:r w:rsidR="007A0EB1">
        <w:t>I</w:t>
      </w:r>
      <w:r w:rsidR="00012453" w:rsidRPr="00012453">
        <w:t xml:space="preserve">nternational </w:t>
      </w:r>
      <w:r w:rsidR="007A0EB1">
        <w:t>L</w:t>
      </w:r>
      <w:r w:rsidR="00012453" w:rsidRPr="00012453">
        <w:t>aw: sovereignty, human rights, sustainable development</w:t>
      </w:r>
      <w:r w:rsidR="00012453">
        <w:t xml:space="preserve">, in </w:t>
      </w:r>
      <w:r w:rsidR="000B6605" w:rsidRPr="001247A3">
        <w:t>honour of Nico Schrijver</w:t>
      </w:r>
      <w:r w:rsidR="00AE73B7">
        <w:t xml:space="preserve">, </w:t>
      </w:r>
      <w:hyperlink r:id="rId29" w:anchor="v=onepage&amp;q=Climate%20Change%20and%20the%20Extra-Territorial%20Scope%20of%20Human%20Rights%20Obligations%3A%20Global%20Threats%20and%20Fragmented%20Responses&amp;f=false" w:history="1">
        <w:r w:rsidR="00AE73B7" w:rsidRPr="00AE73B7">
          <w:rPr>
            <w:rStyle w:val="Hyperlink"/>
          </w:rPr>
          <w:t>here</w:t>
        </w:r>
      </w:hyperlink>
      <w:r w:rsidR="00AE73B7">
        <w:t xml:space="preserve">. </w:t>
      </w:r>
    </w:p>
    <w:p w14:paraId="65088772" w14:textId="33F416E8" w:rsidR="003E46CF" w:rsidRPr="003E46CF" w:rsidRDefault="001247A3" w:rsidP="00700287">
      <w:pPr>
        <w:pStyle w:val="ListParagraph"/>
        <w:numPr>
          <w:ilvl w:val="1"/>
          <w:numId w:val="4"/>
        </w:numPr>
        <w:spacing w:after="0"/>
        <w:jc w:val="both"/>
        <w:rPr>
          <w:rStyle w:val="Hyperlink"/>
          <w:color w:val="auto"/>
          <w:u w:val="none"/>
        </w:rPr>
      </w:pPr>
      <w:r>
        <w:t>a</w:t>
      </w:r>
      <w:r w:rsidR="000B6605" w:rsidRPr="001247A3">
        <w:t xml:space="preserve"> blog entry </w:t>
      </w:r>
      <w:r w:rsidR="00743B24">
        <w:t xml:space="preserve">in Just Security </w:t>
      </w:r>
      <w:r w:rsidR="000B6605" w:rsidRPr="001247A3">
        <w:t>criti</w:t>
      </w:r>
      <w:r>
        <w:t>cally review</w:t>
      </w:r>
      <w:r w:rsidR="00743B24">
        <w:t>ed</w:t>
      </w:r>
      <w:r>
        <w:t xml:space="preserve"> </w:t>
      </w:r>
      <w:r w:rsidR="000B6605" w:rsidRPr="001247A3">
        <w:t xml:space="preserve">the restrictive approach to </w:t>
      </w:r>
      <w:r w:rsidR="000B6605" w:rsidRPr="00AD3BAA">
        <w:rPr>
          <w:b/>
          <w:bCs/>
          <w:i/>
          <w:iCs/>
        </w:rPr>
        <w:t>extra-territoriality in armed conflict</w:t>
      </w:r>
      <w:r w:rsidR="000B6605" w:rsidRPr="001247A3">
        <w:t xml:space="preserve"> </w:t>
      </w:r>
      <w:r w:rsidR="003E46CF">
        <w:t xml:space="preserve">adopted by the ECHR </w:t>
      </w:r>
      <w:r w:rsidR="000B6605" w:rsidRPr="001247A3">
        <w:t xml:space="preserve">in Georgia v Russia </w:t>
      </w:r>
      <w:r w:rsidR="003E46CF">
        <w:t>(2021)</w:t>
      </w:r>
      <w:r w:rsidR="00743B24">
        <w:t xml:space="preserve"> is</w:t>
      </w:r>
      <w:r w:rsidR="00AE73B7">
        <w:t xml:space="preserve"> </w:t>
      </w:r>
      <w:hyperlink r:id="rId30" w:history="1">
        <w:r w:rsidR="00AE73B7" w:rsidRPr="00AE73B7">
          <w:rPr>
            <w:rStyle w:val="Hyperlink"/>
          </w:rPr>
          <w:t>here</w:t>
        </w:r>
      </w:hyperlink>
      <w:r w:rsidR="003E46CF">
        <w:t>:</w:t>
      </w:r>
      <w:r w:rsidR="000B6605">
        <w:t xml:space="preserve"> </w:t>
      </w:r>
    </w:p>
    <w:p w14:paraId="7E2416DB" w14:textId="0649E547" w:rsidR="000B6605" w:rsidRPr="00AC4122" w:rsidRDefault="00AE73B7" w:rsidP="00700287">
      <w:pPr>
        <w:pStyle w:val="ListParagraph"/>
        <w:numPr>
          <w:ilvl w:val="1"/>
          <w:numId w:val="4"/>
        </w:numPr>
        <w:spacing w:after="0"/>
        <w:jc w:val="both"/>
      </w:pPr>
      <w:r>
        <w:rPr>
          <w:rStyle w:val="Hyperlink"/>
          <w:color w:val="auto"/>
          <w:u w:val="none"/>
        </w:rPr>
        <w:t xml:space="preserve">a </w:t>
      </w:r>
      <w:r w:rsidR="000B6605" w:rsidRPr="000B6605">
        <w:rPr>
          <w:rStyle w:val="Hyperlink"/>
          <w:color w:val="auto"/>
          <w:u w:val="none"/>
        </w:rPr>
        <w:t xml:space="preserve">chapter on </w:t>
      </w:r>
      <w:r w:rsidR="003E46CF">
        <w:rPr>
          <w:rStyle w:val="Hyperlink"/>
          <w:color w:val="auto"/>
          <w:u w:val="none"/>
        </w:rPr>
        <w:t xml:space="preserve">the applicability of human rights law to </w:t>
      </w:r>
      <w:r w:rsidR="000B6605" w:rsidRPr="00AD3BAA">
        <w:rPr>
          <w:rStyle w:val="Hyperlink"/>
          <w:b/>
          <w:bCs/>
          <w:i/>
          <w:iCs/>
          <w:color w:val="auto"/>
          <w:u w:val="none"/>
        </w:rPr>
        <w:t>repatriation from Syrian camps</w:t>
      </w:r>
      <w:r w:rsidR="000B6605" w:rsidRPr="000B6605">
        <w:rPr>
          <w:rStyle w:val="Hyperlink"/>
          <w:color w:val="auto"/>
          <w:u w:val="none"/>
        </w:rPr>
        <w:t xml:space="preserve"> was addressed in another chapter, available here.</w:t>
      </w:r>
    </w:p>
    <w:p w14:paraId="4C9FA5B4" w14:textId="77777777" w:rsidR="00700287" w:rsidRPr="00700287" w:rsidRDefault="00700287" w:rsidP="00700287">
      <w:pPr>
        <w:pStyle w:val="ListParagraph"/>
        <w:spacing w:after="0"/>
        <w:jc w:val="both"/>
        <w:rPr>
          <w:color w:val="0563C1" w:themeColor="hyperlink"/>
          <w:u w:val="single"/>
        </w:rPr>
      </w:pPr>
    </w:p>
    <w:p w14:paraId="2078D622" w14:textId="3906956F" w:rsidR="00AD3BAA" w:rsidRPr="00AD3BAA" w:rsidRDefault="00AD3BAA" w:rsidP="00700287">
      <w:pPr>
        <w:pStyle w:val="ListParagraph"/>
        <w:numPr>
          <w:ilvl w:val="0"/>
          <w:numId w:val="4"/>
        </w:numPr>
        <w:spacing w:after="0"/>
        <w:jc w:val="both"/>
        <w:rPr>
          <w:color w:val="0563C1" w:themeColor="hyperlink"/>
          <w:u w:val="single"/>
        </w:rPr>
      </w:pPr>
      <w:r>
        <w:t xml:space="preserve">Blogs also </w:t>
      </w:r>
      <w:r w:rsidR="000B6605">
        <w:t>addressed</w:t>
      </w:r>
      <w:r>
        <w:t xml:space="preserve"> other key</w:t>
      </w:r>
      <w:r w:rsidR="000B6605">
        <w:t xml:space="preserve"> developments</w:t>
      </w:r>
      <w:r>
        <w:t xml:space="preserve"> on:</w:t>
      </w:r>
      <w:r w:rsidR="000B6605">
        <w:t xml:space="preserve"> </w:t>
      </w:r>
    </w:p>
    <w:p w14:paraId="46E933E2" w14:textId="119B720B" w:rsidR="007A0EB1" w:rsidRPr="007A0EB1" w:rsidRDefault="000B6605" w:rsidP="006E0A85">
      <w:pPr>
        <w:pStyle w:val="ListParagraph"/>
        <w:numPr>
          <w:ilvl w:val="1"/>
          <w:numId w:val="4"/>
        </w:numPr>
        <w:jc w:val="both"/>
        <w:rPr>
          <w:rStyle w:val="Hyperlink"/>
        </w:rPr>
      </w:pPr>
      <w:r w:rsidRPr="007A0EB1">
        <w:rPr>
          <w:b/>
          <w:bCs/>
          <w:i/>
          <w:iCs/>
        </w:rPr>
        <w:t>Climate Justice</w:t>
      </w:r>
      <w:r w:rsidRPr="007A0EB1">
        <w:t xml:space="preserve">, reflecting on key challenges in the Norwegian litigation in which I was acting as adviser </w:t>
      </w:r>
      <w:r w:rsidR="00AD3BAA" w:rsidRPr="007A0EB1">
        <w:t xml:space="preserve">as </w:t>
      </w:r>
      <w:r w:rsidRPr="007A0EB1">
        <w:t>noted above</w:t>
      </w:r>
      <w:r w:rsidR="00B06009" w:rsidRPr="007A0EB1">
        <w:t xml:space="preserve">, </w:t>
      </w:r>
      <w:hyperlink r:id="rId31" w:history="1">
        <w:r w:rsidR="00B06009" w:rsidRPr="007A0EB1">
          <w:rPr>
            <w:rStyle w:val="Hyperlink"/>
          </w:rPr>
          <w:t>here</w:t>
        </w:r>
      </w:hyperlink>
      <w:r w:rsidR="00B06009" w:rsidRPr="007A0EB1">
        <w:t>.</w:t>
      </w:r>
      <w:r w:rsidR="00B06009" w:rsidRPr="000445E7">
        <w:rPr>
          <w:rStyle w:val="Hyperlink"/>
          <w:color w:val="auto"/>
          <w:u w:val="none"/>
        </w:rPr>
        <w:t xml:space="preserve"> </w:t>
      </w:r>
      <w:r w:rsidRPr="000445E7">
        <w:rPr>
          <w:rStyle w:val="Hyperlink"/>
          <w:color w:val="auto"/>
          <w:u w:val="none"/>
        </w:rPr>
        <w:t>A book proposal providing practical guidance on climate justice in human rights courts</w:t>
      </w:r>
      <w:r w:rsidR="00B168D4">
        <w:rPr>
          <w:rStyle w:val="Hyperlink"/>
          <w:color w:val="auto"/>
          <w:u w:val="none"/>
        </w:rPr>
        <w:t>, with my colleague Margaretha Wewerinke Singh,</w:t>
      </w:r>
      <w:r w:rsidRPr="000445E7">
        <w:rPr>
          <w:rStyle w:val="Hyperlink"/>
          <w:color w:val="auto"/>
          <w:u w:val="none"/>
        </w:rPr>
        <w:t xml:space="preserve"> is pending.</w:t>
      </w:r>
    </w:p>
    <w:p w14:paraId="1679240E" w14:textId="4EE8A7A8" w:rsidR="00AD3BAA" w:rsidRPr="000445E7" w:rsidRDefault="00AD3BAA" w:rsidP="007A0EB1">
      <w:pPr>
        <w:pStyle w:val="ListParagraph"/>
        <w:numPr>
          <w:ilvl w:val="1"/>
          <w:numId w:val="4"/>
        </w:numPr>
        <w:jc w:val="both"/>
        <w:rPr>
          <w:color w:val="0563C1" w:themeColor="hyperlink"/>
          <w:u w:val="single"/>
        </w:rPr>
      </w:pPr>
      <w:r w:rsidRPr="007A0EB1">
        <w:t xml:space="preserve">the first </w:t>
      </w:r>
      <w:r w:rsidRPr="007A0EB1">
        <w:rPr>
          <w:b/>
          <w:bCs/>
          <w:i/>
          <w:iCs/>
        </w:rPr>
        <w:t>Committee on Rights of the Child</w:t>
      </w:r>
      <w:r w:rsidRPr="007A0EB1">
        <w:t xml:space="preserve"> </w:t>
      </w:r>
      <w:r w:rsidR="0015386C" w:rsidRPr="007A0EB1">
        <w:t xml:space="preserve">decision on France’s human rights obligations towards child national detained in </w:t>
      </w:r>
      <w:r w:rsidRPr="007A0EB1">
        <w:t>Syrian camps</w:t>
      </w:r>
      <w:r w:rsidR="00B168D4">
        <w:t xml:space="preserve"> was discussed</w:t>
      </w:r>
      <w:r w:rsidR="00AE73B7" w:rsidRPr="007A0EB1">
        <w:t xml:space="preserve"> </w:t>
      </w:r>
      <w:hyperlink r:id="rId32" w:history="1">
        <w:r w:rsidR="00AE73B7" w:rsidRPr="007A0EB1">
          <w:rPr>
            <w:rStyle w:val="Hyperlink"/>
          </w:rPr>
          <w:t>here</w:t>
        </w:r>
      </w:hyperlink>
      <w:r w:rsidR="00AE73B7" w:rsidRPr="007A0EB1">
        <w:t>.</w:t>
      </w:r>
    </w:p>
    <w:p w14:paraId="1674C276" w14:textId="5B75C1BF" w:rsidR="0015386C" w:rsidRDefault="000B6605" w:rsidP="003908B6">
      <w:pPr>
        <w:pStyle w:val="ListParagraph"/>
        <w:numPr>
          <w:ilvl w:val="1"/>
          <w:numId w:val="4"/>
        </w:numPr>
        <w:jc w:val="both"/>
      </w:pPr>
      <w:r>
        <w:t>the 20</w:t>
      </w:r>
      <w:r w:rsidRPr="0015386C">
        <w:rPr>
          <w:vertAlign w:val="superscript"/>
        </w:rPr>
        <w:t>th</w:t>
      </w:r>
      <w:r>
        <w:t xml:space="preserve"> anniversary of the Internationa</w:t>
      </w:r>
      <w:r w:rsidR="00460766">
        <w:t>l</w:t>
      </w:r>
      <w:r>
        <w:t xml:space="preserve"> Law Commissions </w:t>
      </w:r>
      <w:r w:rsidR="0015386C" w:rsidRPr="0015386C">
        <w:rPr>
          <w:b/>
          <w:bCs/>
          <w:i/>
          <w:iCs/>
        </w:rPr>
        <w:t>A</w:t>
      </w:r>
      <w:r w:rsidRPr="0015386C">
        <w:rPr>
          <w:b/>
          <w:bCs/>
          <w:i/>
          <w:iCs/>
        </w:rPr>
        <w:t>rticles on State Responsibility</w:t>
      </w:r>
      <w:r w:rsidR="0015386C">
        <w:t xml:space="preserve"> saw a symposium on the Articles’ impact, </w:t>
      </w:r>
      <w:hyperlink r:id="rId33" w:history="1">
        <w:r w:rsidR="0015386C" w:rsidRPr="00AE3BDF">
          <w:rPr>
            <w:rStyle w:val="Hyperlink"/>
          </w:rPr>
          <w:t>including my contribution</w:t>
        </w:r>
      </w:hyperlink>
      <w:r w:rsidR="0015386C">
        <w:t xml:space="preserve"> on</w:t>
      </w:r>
      <w:r>
        <w:t xml:space="preserve"> what the</w:t>
      </w:r>
      <w:r w:rsidR="0015386C">
        <w:t xml:space="preserve"> Articles</w:t>
      </w:r>
      <w:r>
        <w:t xml:space="preserve"> </w:t>
      </w:r>
      <w:r w:rsidR="0015386C">
        <w:t xml:space="preserve">have meant – and could </w:t>
      </w:r>
      <w:r>
        <w:t xml:space="preserve">mean </w:t>
      </w:r>
      <w:r w:rsidR="0015386C">
        <w:t xml:space="preserve">- </w:t>
      </w:r>
      <w:r>
        <w:t>for human rights</w:t>
      </w:r>
      <w:r w:rsidR="00AE3BDF">
        <w:t>.</w:t>
      </w:r>
    </w:p>
    <w:p w14:paraId="1C40B1C2" w14:textId="2171D390" w:rsidR="00065975" w:rsidRPr="00065975" w:rsidRDefault="00460766" w:rsidP="006E0A85">
      <w:pPr>
        <w:pStyle w:val="ListParagraph"/>
        <w:numPr>
          <w:ilvl w:val="1"/>
          <w:numId w:val="4"/>
        </w:numPr>
        <w:jc w:val="both"/>
      </w:pPr>
      <w:r>
        <w:t xml:space="preserve">Finally, </w:t>
      </w:r>
      <w:r w:rsidR="0015386C">
        <w:t>a</w:t>
      </w:r>
      <w:r>
        <w:t xml:space="preserve"> piece reflecting on </w:t>
      </w:r>
      <w:r w:rsidRPr="000445E7">
        <w:rPr>
          <w:b/>
          <w:bCs/>
          <w:i/>
          <w:iCs/>
        </w:rPr>
        <w:t>trans</w:t>
      </w:r>
      <w:r w:rsidR="0015386C" w:rsidRPr="000445E7">
        <w:rPr>
          <w:b/>
          <w:bCs/>
          <w:i/>
          <w:iCs/>
        </w:rPr>
        <w:t>national human rights</w:t>
      </w:r>
      <w:r w:rsidRPr="000445E7">
        <w:rPr>
          <w:b/>
          <w:bCs/>
          <w:i/>
          <w:iCs/>
        </w:rPr>
        <w:t xml:space="preserve"> litigation on Guantanamo</w:t>
      </w:r>
      <w:r>
        <w:t xml:space="preserve"> </w:t>
      </w:r>
      <w:r w:rsidR="0015386C">
        <w:t xml:space="preserve">appeared in </w:t>
      </w:r>
      <w:r>
        <w:t xml:space="preserve">a remarkable anthology of </w:t>
      </w:r>
      <w:r w:rsidR="0015386C">
        <w:t>Guantanamo</w:t>
      </w:r>
      <w:r>
        <w:t xml:space="preserve"> voices which has just been published by ECCHR</w:t>
      </w:r>
      <w:r w:rsidR="0015386C">
        <w:t xml:space="preserve"> and is available </w:t>
      </w:r>
      <w:hyperlink r:id="rId34" w:history="1">
        <w:r w:rsidR="0015386C" w:rsidRPr="00AE3BDF">
          <w:rPr>
            <w:rStyle w:val="Hyperlink"/>
          </w:rPr>
          <w:t>here</w:t>
        </w:r>
      </w:hyperlink>
      <w:r w:rsidR="0015386C">
        <w:t>.</w:t>
      </w:r>
    </w:p>
    <w:p w14:paraId="6589BD75" w14:textId="750E8A0B" w:rsidR="00065975" w:rsidRDefault="00DC348F" w:rsidP="006E0A85">
      <w:pPr>
        <w:jc w:val="both"/>
      </w:pPr>
      <w:r w:rsidRPr="00DC348F">
        <w:t>Education</w:t>
      </w:r>
      <w:r w:rsidR="003F20ED">
        <w:t xml:space="preserve"> &amp; outreach are</w:t>
      </w:r>
      <w:r w:rsidR="00F61D8D">
        <w:t xml:space="preserve"> always </w:t>
      </w:r>
      <w:r w:rsidR="003F20ED">
        <w:t xml:space="preserve">an </w:t>
      </w:r>
      <w:r w:rsidR="00F61D8D">
        <w:t>important part of the work</w:t>
      </w:r>
      <w:r w:rsidRPr="00DC348F">
        <w:t>, albeit mostly online this yea</w:t>
      </w:r>
      <w:r w:rsidR="00B168D4">
        <w:t>r</w:t>
      </w:r>
      <w:r w:rsidR="00F47319">
        <w:t>.</w:t>
      </w:r>
      <w:r w:rsidR="00966337" w:rsidRPr="00966337">
        <w:t xml:space="preserve"> </w:t>
      </w:r>
      <w:r w:rsidR="00966337">
        <w:t>I was pleased to participate in trainings, meetings, panels</w:t>
      </w:r>
      <w:r w:rsidR="00F61D8D">
        <w:t xml:space="preserve"> etc</w:t>
      </w:r>
      <w:r w:rsidR="00F47319">
        <w:t xml:space="preserve"> </w:t>
      </w:r>
      <w:r w:rsidR="00B168D4">
        <w:t>in</w:t>
      </w:r>
      <w:r w:rsidR="003F20ED">
        <w:t xml:space="preserve"> </w:t>
      </w:r>
      <w:r w:rsidR="00966337">
        <w:t>Palestine</w:t>
      </w:r>
      <w:r w:rsidR="00F47319">
        <w:t>,</w:t>
      </w:r>
      <w:r w:rsidR="00966337">
        <w:t xml:space="preserve"> Colombia</w:t>
      </w:r>
      <w:r w:rsidR="00B168D4">
        <w:t>,</w:t>
      </w:r>
      <w:r w:rsidR="00F47319">
        <w:t xml:space="preserve"> Syria</w:t>
      </w:r>
      <w:r w:rsidR="00B168D4">
        <w:t>, Washington,</w:t>
      </w:r>
      <w:r w:rsidR="00966337">
        <w:t xml:space="preserve"> Glasgow and Geneva</w:t>
      </w:r>
      <w:r w:rsidR="00F61D8D">
        <w:t xml:space="preserve">, all </w:t>
      </w:r>
      <w:r w:rsidR="00942CDC">
        <w:t xml:space="preserve">sadly </w:t>
      </w:r>
      <w:r w:rsidR="00966337">
        <w:t>without moving</w:t>
      </w:r>
      <w:r w:rsidR="00942CDC">
        <w:t xml:space="preserve"> an inch</w:t>
      </w:r>
      <w:r w:rsidR="00F47319">
        <w:t>.</w:t>
      </w:r>
      <w:r w:rsidR="00966337">
        <w:t xml:space="preserve"> </w:t>
      </w:r>
      <w:r w:rsidR="003F20ED">
        <w:t>Also delighted to have my first full year as trustee with the wonderful torture NGO Redress.</w:t>
      </w:r>
      <w:r w:rsidR="00966337">
        <w:t xml:space="preserve">  </w:t>
      </w:r>
    </w:p>
    <w:p w14:paraId="545BA344" w14:textId="596ABF4A" w:rsidR="00151DC1" w:rsidRDefault="007311B7" w:rsidP="006E0A85">
      <w:pPr>
        <w:jc w:val="both"/>
      </w:pPr>
      <w:r w:rsidRPr="007311B7">
        <w:rPr>
          <w:u w:val="single"/>
        </w:rPr>
        <w:t xml:space="preserve">Final word of thanks… </w:t>
      </w:r>
      <w:r w:rsidR="009112E0">
        <w:rPr>
          <w:u w:val="single"/>
        </w:rPr>
        <w:t xml:space="preserve"> </w:t>
      </w:r>
      <w:r>
        <w:t xml:space="preserve">Although HRiP remains essentially a one-person practice, </w:t>
      </w:r>
      <w:r w:rsidR="00201D00">
        <w:t>I am very grateful</w:t>
      </w:r>
      <w:r w:rsidR="009F39A1">
        <w:t xml:space="preserve"> to</w:t>
      </w:r>
      <w:r w:rsidR="00AD5EC5">
        <w:t xml:space="preserve"> many. This includes </w:t>
      </w:r>
      <w:r w:rsidR="009E5260">
        <w:t xml:space="preserve">the </w:t>
      </w:r>
      <w:r w:rsidR="00AD5EC5">
        <w:t>brilliant students</w:t>
      </w:r>
      <w:r w:rsidR="00530BEA">
        <w:t xml:space="preserve"> (and colleagues)</w:t>
      </w:r>
      <w:r w:rsidR="009F39A1">
        <w:t xml:space="preserve"> I meet in my academic work who lend</w:t>
      </w:r>
      <w:r w:rsidR="00E27FE2">
        <w:t xml:space="preserve"> time and energy to </w:t>
      </w:r>
      <w:r w:rsidR="009E5260">
        <w:t>HRiP</w:t>
      </w:r>
      <w:r w:rsidR="00312CB9">
        <w:rPr>
          <w:rStyle w:val="FootnoteReference"/>
        </w:rPr>
        <w:footnoteReference w:id="1"/>
      </w:r>
      <w:r w:rsidR="00151DC1">
        <w:t>;</w:t>
      </w:r>
      <w:r w:rsidR="00E86A3B">
        <w:t xml:space="preserve"> </w:t>
      </w:r>
      <w:r w:rsidR="002A7CBC">
        <w:t xml:space="preserve">special </w:t>
      </w:r>
      <w:r>
        <w:t>thanks this year to</w:t>
      </w:r>
      <w:r w:rsidR="00151DC1">
        <w:t>,</w:t>
      </w:r>
      <w:r>
        <w:t xml:space="preserve"> </w:t>
      </w:r>
      <w:r w:rsidR="00201D00" w:rsidRPr="00151DC1">
        <w:rPr>
          <w:u w:val="single"/>
        </w:rPr>
        <w:t>among others</w:t>
      </w:r>
      <w:r w:rsidR="00151DC1">
        <w:t>,</w:t>
      </w:r>
      <w:r w:rsidR="00201D00">
        <w:t xml:space="preserve"> </w:t>
      </w:r>
      <w:r>
        <w:t>Eva Daniel, Brenda Rodrigues and Fr</w:t>
      </w:r>
      <w:r w:rsidR="00C51BF2">
        <w:t>ie</w:t>
      </w:r>
      <w:r>
        <w:t>der</w:t>
      </w:r>
      <w:r w:rsidR="00C51BF2">
        <w:t>ike</w:t>
      </w:r>
      <w:r>
        <w:t xml:space="preserve"> L</w:t>
      </w:r>
      <w:r w:rsidR="00C51BF2">
        <w:t>oe</w:t>
      </w:r>
      <w:r>
        <w:t xml:space="preserve">bbert who joined </w:t>
      </w:r>
      <w:r w:rsidR="00B168D4">
        <w:t>f</w:t>
      </w:r>
      <w:r>
        <w:t xml:space="preserve">or </w:t>
      </w:r>
      <w:r w:rsidR="008B1F2B">
        <w:t>longer</w:t>
      </w:r>
      <w:r w:rsidR="00530BEA">
        <w:t xml:space="preserve"> hours than normal</w:t>
      </w:r>
      <w:r w:rsidR="009F39A1">
        <w:t xml:space="preserve">, </w:t>
      </w:r>
      <w:r>
        <w:t>supported by</w:t>
      </w:r>
      <w:r w:rsidR="000C2960">
        <w:t xml:space="preserve"> </w:t>
      </w:r>
      <w:r w:rsidR="00151DC1">
        <w:t xml:space="preserve">their </w:t>
      </w:r>
      <w:r>
        <w:t xml:space="preserve"> law schools or governments. </w:t>
      </w:r>
      <w:r w:rsidR="00E86A3B">
        <w:t>T</w:t>
      </w:r>
      <w:r w:rsidR="008B1F2B">
        <w:t xml:space="preserve">o </w:t>
      </w:r>
      <w:r w:rsidR="00151DC1">
        <w:t xml:space="preserve">a large </w:t>
      </w:r>
      <w:r w:rsidR="008B1F2B">
        <w:t>extent</w:t>
      </w:r>
      <w:r w:rsidR="00151DC1">
        <w:t xml:space="preserve"> </w:t>
      </w:r>
      <w:r w:rsidR="008B1F2B">
        <w:t xml:space="preserve">all the work is done in partnership with </w:t>
      </w:r>
      <w:r w:rsidR="00F47319">
        <w:t>lawyers</w:t>
      </w:r>
      <w:r w:rsidR="00151DC1">
        <w:t xml:space="preserve"> and other</w:t>
      </w:r>
      <w:r w:rsidR="00F47319">
        <w:t xml:space="preserve"> </w:t>
      </w:r>
      <w:r w:rsidR="006F01A9">
        <w:t xml:space="preserve">civil society </w:t>
      </w:r>
      <w:r w:rsidR="006F01A9">
        <w:lastRenderedPageBreak/>
        <w:t xml:space="preserve">actors </w:t>
      </w:r>
      <w:r w:rsidR="00F47319">
        <w:t xml:space="preserve">around the world. </w:t>
      </w:r>
      <w:r w:rsidR="008B1F2B">
        <w:t>It</w:t>
      </w:r>
      <w:r w:rsidR="00241CBC">
        <w:t xml:space="preserve"> i</w:t>
      </w:r>
      <w:r w:rsidR="008B1F2B">
        <w:t xml:space="preserve">s an honour to work with </w:t>
      </w:r>
      <w:r w:rsidR="00530BEA">
        <w:t>them/</w:t>
      </w:r>
      <w:r w:rsidR="008B1F2B">
        <w:t>you and be part of a resilient</w:t>
      </w:r>
      <w:r w:rsidR="009C1E3C">
        <w:t>,</w:t>
      </w:r>
      <w:r w:rsidR="008B1F2B">
        <w:t xml:space="preserve"> if </w:t>
      </w:r>
      <w:r w:rsidR="009C1E3C">
        <w:t xml:space="preserve">somewhat </w:t>
      </w:r>
      <w:r w:rsidR="008B1F2B">
        <w:t>be</w:t>
      </w:r>
      <w:r w:rsidR="009112E0">
        <w:t>leaguered</w:t>
      </w:r>
      <w:r w:rsidR="009C1E3C">
        <w:t>,</w:t>
      </w:r>
      <w:r w:rsidR="008B1F2B">
        <w:t xml:space="preserve"> global human rights network at this critical time. </w:t>
      </w:r>
    </w:p>
    <w:p w14:paraId="66B4909A" w14:textId="644C8DAE" w:rsidR="00201D00" w:rsidRDefault="00151DC1" w:rsidP="006E0A85">
      <w:pPr>
        <w:jc w:val="both"/>
      </w:pPr>
      <w:r>
        <w:t xml:space="preserve">Many thanks. </w:t>
      </w:r>
      <w:r w:rsidR="008B1F2B">
        <w:t xml:space="preserve">Look forward to </w:t>
      </w:r>
      <w:r w:rsidR="009112E0">
        <w:t xml:space="preserve">working together </w:t>
      </w:r>
      <w:r w:rsidR="008B1F2B">
        <w:t>in 2022</w:t>
      </w:r>
      <w:r w:rsidR="00201D00">
        <w:t>.</w:t>
      </w:r>
      <w:r>
        <w:t xml:space="preserve"> </w:t>
      </w:r>
    </w:p>
    <w:p w14:paraId="120A0C34" w14:textId="0240A354" w:rsidR="0015386C" w:rsidRDefault="0015386C" w:rsidP="003F20ED">
      <w:pPr>
        <w:jc w:val="both"/>
      </w:pPr>
      <w:r>
        <w:t>Helen Duffy</w:t>
      </w:r>
      <w:r w:rsidR="00D94BE6">
        <w:t xml:space="preserve">, </w:t>
      </w:r>
      <w:r>
        <w:t>January 2022</w:t>
      </w:r>
    </w:p>
    <w:sectPr w:rsidR="0015386C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E79C" w14:textId="77777777" w:rsidR="00C72B2B" w:rsidRDefault="00C72B2B" w:rsidP="008B1F2B">
      <w:pPr>
        <w:spacing w:after="0" w:line="240" w:lineRule="auto"/>
      </w:pPr>
      <w:r>
        <w:separator/>
      </w:r>
    </w:p>
  </w:endnote>
  <w:endnote w:type="continuationSeparator" w:id="0">
    <w:p w14:paraId="418A3B57" w14:textId="77777777" w:rsidR="00C72B2B" w:rsidRDefault="00C72B2B" w:rsidP="008B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835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62E70" w14:textId="127A0180" w:rsidR="008B1F2B" w:rsidRDefault="008B1F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3092CF" w14:textId="77777777" w:rsidR="008B1F2B" w:rsidRDefault="008B1F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A2E0" w14:textId="77777777" w:rsidR="00C72B2B" w:rsidRDefault="00C72B2B" w:rsidP="008B1F2B">
      <w:pPr>
        <w:spacing w:after="0" w:line="240" w:lineRule="auto"/>
      </w:pPr>
      <w:r>
        <w:separator/>
      </w:r>
    </w:p>
  </w:footnote>
  <w:footnote w:type="continuationSeparator" w:id="0">
    <w:p w14:paraId="450DFA51" w14:textId="77777777" w:rsidR="00C72B2B" w:rsidRDefault="00C72B2B" w:rsidP="008B1F2B">
      <w:pPr>
        <w:spacing w:after="0" w:line="240" w:lineRule="auto"/>
      </w:pPr>
      <w:r>
        <w:continuationSeparator/>
      </w:r>
    </w:p>
  </w:footnote>
  <w:footnote w:id="1">
    <w:p w14:paraId="03FD42C8" w14:textId="59DAE288" w:rsidR="00312CB9" w:rsidRPr="00312CB9" w:rsidRDefault="00312CB9" w:rsidP="00312CB9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>
        <w:t xml:space="preserve"> Contributing f</w:t>
      </w:r>
      <w:r>
        <w:rPr>
          <w:lang w:val="en-US"/>
        </w:rPr>
        <w:t>ormer students</w:t>
      </w:r>
      <w:r w:rsidR="00844E6C">
        <w:rPr>
          <w:lang w:val="en-US"/>
        </w:rPr>
        <w:t xml:space="preserve"> in </w:t>
      </w:r>
      <w:r>
        <w:rPr>
          <w:lang w:val="en-US"/>
        </w:rPr>
        <w:t>2021 incl.</w:t>
      </w:r>
      <w:r w:rsidRPr="00312CB9">
        <w:t xml:space="preserve"> </w:t>
      </w:r>
      <w:r w:rsidRPr="00312CB9">
        <w:rPr>
          <w:lang w:val="es-ES"/>
        </w:rPr>
        <w:t>Mareike van Nieuwkoop</w:t>
      </w:r>
      <w:r>
        <w:rPr>
          <w:lang w:val="es-ES"/>
        </w:rPr>
        <w:t xml:space="preserve">, </w:t>
      </w:r>
      <w:r w:rsidRPr="00312CB9">
        <w:rPr>
          <w:lang w:val="es-ES"/>
        </w:rPr>
        <w:t>Ekaterina</w:t>
      </w:r>
      <w:r>
        <w:rPr>
          <w:lang w:val="es-ES"/>
        </w:rPr>
        <w:t xml:space="preserve"> G</w:t>
      </w:r>
      <w:r w:rsidRPr="00312CB9">
        <w:rPr>
          <w:lang w:val="es-ES"/>
        </w:rPr>
        <w:t>ostiukhina</w:t>
      </w:r>
      <w:r>
        <w:rPr>
          <w:lang w:val="es-ES"/>
        </w:rPr>
        <w:t>, R</w:t>
      </w:r>
      <w:r w:rsidRPr="00312CB9">
        <w:rPr>
          <w:lang w:val="es-ES"/>
        </w:rPr>
        <w:t>oberta</w:t>
      </w:r>
      <w:r>
        <w:rPr>
          <w:lang w:val="es-ES"/>
        </w:rPr>
        <w:t xml:space="preserve"> Spiteri, </w:t>
      </w:r>
      <w:r w:rsidRPr="00312CB9">
        <w:rPr>
          <w:lang w:val="es-ES"/>
        </w:rPr>
        <w:t>Bernadette Fidler</w:t>
      </w:r>
      <w:r>
        <w:rPr>
          <w:lang w:val="es-ES"/>
        </w:rPr>
        <w:t xml:space="preserve">, </w:t>
      </w:r>
      <w:r w:rsidRPr="00312CB9">
        <w:rPr>
          <w:lang w:val="es-ES"/>
        </w:rPr>
        <w:t>Victoria Riello</w:t>
      </w:r>
      <w:r>
        <w:rPr>
          <w:lang w:val="es-ES"/>
        </w:rPr>
        <w:t xml:space="preserve">, </w:t>
      </w:r>
      <w:r w:rsidRPr="00312CB9">
        <w:rPr>
          <w:lang w:val="es-ES"/>
        </w:rPr>
        <w:t>Maria de Arcos Tejerizo</w:t>
      </w:r>
      <w:r>
        <w:rPr>
          <w:lang w:val="es-ES"/>
        </w:rPr>
        <w:t xml:space="preserve">, </w:t>
      </w:r>
      <w:r w:rsidRPr="00312CB9">
        <w:rPr>
          <w:lang w:val="es-ES"/>
        </w:rPr>
        <w:t>Coralie Klipfel</w:t>
      </w:r>
      <w:r w:rsidRPr="00312CB9">
        <w:rPr>
          <w:lang w:val="es-ES"/>
        </w:rPr>
        <w:t xml:space="preserve">, </w:t>
      </w:r>
      <w:r w:rsidRPr="00312CB9">
        <w:rPr>
          <w:lang w:val="es-ES"/>
        </w:rPr>
        <w:t>June Goens</w:t>
      </w:r>
      <w:r w:rsidRPr="00312CB9">
        <w:rPr>
          <w:lang w:val="es-ES"/>
        </w:rPr>
        <w:t xml:space="preserve"> </w:t>
      </w:r>
      <w:r>
        <w:rPr>
          <w:lang w:val="es-ES"/>
        </w:rPr>
        <w:t>&amp;</w:t>
      </w:r>
      <w:r w:rsidRPr="00312CB9">
        <w:rPr>
          <w:lang w:val="es-ES"/>
        </w:rPr>
        <w:t xml:space="preserve"> </w:t>
      </w:r>
      <w:r w:rsidRPr="00312CB9">
        <w:rPr>
          <w:lang w:val="es-ES"/>
        </w:rPr>
        <w:t>Seonaid Stevenson</w:t>
      </w:r>
      <w:r>
        <w:rPr>
          <w:lang w:val="es-ES"/>
        </w:rPr>
        <w:t>.</w:t>
      </w:r>
    </w:p>
    <w:p w14:paraId="6F39633B" w14:textId="25F7ACCD" w:rsidR="00312CB9" w:rsidRPr="00312CB9" w:rsidRDefault="00312CB9">
      <w:pPr>
        <w:pStyle w:val="FootnoteText"/>
        <w:rPr>
          <w:lang w:val="es-ES"/>
        </w:rPr>
      </w:pPr>
      <w:r w:rsidRPr="00312CB9">
        <w:rPr>
          <w:lang w:val="es-E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AD33" w14:textId="1AB1A62F" w:rsidR="002A7CBC" w:rsidRDefault="002A7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6A2"/>
    <w:multiLevelType w:val="multilevel"/>
    <w:tmpl w:val="E9D8C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048B6"/>
    <w:multiLevelType w:val="hybridMultilevel"/>
    <w:tmpl w:val="13305558"/>
    <w:lvl w:ilvl="0" w:tplc="3DD2107E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73605"/>
    <w:multiLevelType w:val="multilevel"/>
    <w:tmpl w:val="4DA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E1042"/>
    <w:multiLevelType w:val="hybridMultilevel"/>
    <w:tmpl w:val="03D42E42"/>
    <w:lvl w:ilvl="0" w:tplc="1C84353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17568F2C">
      <w:start w:val="1"/>
      <w:numFmt w:val="lowerRoman"/>
      <w:lvlText w:val="%2)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86C57"/>
    <w:multiLevelType w:val="multilevel"/>
    <w:tmpl w:val="08E0E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626AE0"/>
    <w:multiLevelType w:val="multilevel"/>
    <w:tmpl w:val="BC78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D04756"/>
    <w:multiLevelType w:val="multilevel"/>
    <w:tmpl w:val="C10EC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F3141"/>
    <w:multiLevelType w:val="multilevel"/>
    <w:tmpl w:val="F7DAF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 w:themeColor="text1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A95C0A"/>
    <w:multiLevelType w:val="hybridMultilevel"/>
    <w:tmpl w:val="52F28616"/>
    <w:lvl w:ilvl="0" w:tplc="619E5A86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384328A"/>
    <w:multiLevelType w:val="hybridMultilevel"/>
    <w:tmpl w:val="FDB229A4"/>
    <w:lvl w:ilvl="0" w:tplc="2C9EFB9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CB1E51"/>
    <w:multiLevelType w:val="hybridMultilevel"/>
    <w:tmpl w:val="FEC20794"/>
    <w:lvl w:ilvl="0" w:tplc="DC56518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D505F5"/>
    <w:multiLevelType w:val="hybridMultilevel"/>
    <w:tmpl w:val="64FEEB56"/>
    <w:lvl w:ilvl="0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0F067F2"/>
    <w:multiLevelType w:val="hybridMultilevel"/>
    <w:tmpl w:val="EFC0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8E0F3E"/>
    <w:multiLevelType w:val="multilevel"/>
    <w:tmpl w:val="04C2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A922B9"/>
    <w:multiLevelType w:val="hybridMultilevel"/>
    <w:tmpl w:val="1CFC564C"/>
    <w:lvl w:ilvl="0" w:tplc="43986A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AB7E4">
      <w:start w:val="2018"/>
      <w:numFmt w:val="bullet"/>
      <w:lvlText w:val="-"/>
      <w:lvlJc w:val="left"/>
      <w:pPr>
        <w:ind w:left="2160" w:hanging="360"/>
      </w:pPr>
      <w:rPr>
        <w:rFonts w:ascii="Minion Pro" w:eastAsiaTheme="minorHAnsi" w:hAnsi="Minion Pro" w:cstheme="minorBidi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3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585"/>
    <w:rsid w:val="000025B6"/>
    <w:rsid w:val="00012453"/>
    <w:rsid w:val="000445E7"/>
    <w:rsid w:val="00050BEE"/>
    <w:rsid w:val="00065975"/>
    <w:rsid w:val="00070F42"/>
    <w:rsid w:val="0007185C"/>
    <w:rsid w:val="000971D5"/>
    <w:rsid w:val="000B44D3"/>
    <w:rsid w:val="000B4BB6"/>
    <w:rsid w:val="000B4F50"/>
    <w:rsid w:val="000B6605"/>
    <w:rsid w:val="000C2960"/>
    <w:rsid w:val="000C5F87"/>
    <w:rsid w:val="00113D33"/>
    <w:rsid w:val="00113EB7"/>
    <w:rsid w:val="00120CD4"/>
    <w:rsid w:val="001247A3"/>
    <w:rsid w:val="001479D6"/>
    <w:rsid w:val="00151DC1"/>
    <w:rsid w:val="0015386C"/>
    <w:rsid w:val="0015612B"/>
    <w:rsid w:val="00156754"/>
    <w:rsid w:val="00161633"/>
    <w:rsid w:val="00167E51"/>
    <w:rsid w:val="001A76E8"/>
    <w:rsid w:val="001D69E3"/>
    <w:rsid w:val="001E2527"/>
    <w:rsid w:val="001F1836"/>
    <w:rsid w:val="00200CDB"/>
    <w:rsid w:val="00201D00"/>
    <w:rsid w:val="0021258A"/>
    <w:rsid w:val="002155FC"/>
    <w:rsid w:val="00220EEA"/>
    <w:rsid w:val="00226403"/>
    <w:rsid w:val="002366BD"/>
    <w:rsid w:val="00241CBC"/>
    <w:rsid w:val="00263154"/>
    <w:rsid w:val="00273356"/>
    <w:rsid w:val="00274F8D"/>
    <w:rsid w:val="002945D2"/>
    <w:rsid w:val="002A0EC3"/>
    <w:rsid w:val="002A7CBC"/>
    <w:rsid w:val="002B22AA"/>
    <w:rsid w:val="002C1DA7"/>
    <w:rsid w:val="002C2EE8"/>
    <w:rsid w:val="002D7B35"/>
    <w:rsid w:val="002E66DA"/>
    <w:rsid w:val="002F14A7"/>
    <w:rsid w:val="002F5EFC"/>
    <w:rsid w:val="00301E27"/>
    <w:rsid w:val="00307DCA"/>
    <w:rsid w:val="00312CB9"/>
    <w:rsid w:val="00313A7C"/>
    <w:rsid w:val="00315DCE"/>
    <w:rsid w:val="0031782B"/>
    <w:rsid w:val="0034329C"/>
    <w:rsid w:val="00362FD0"/>
    <w:rsid w:val="00365AB9"/>
    <w:rsid w:val="00366DF0"/>
    <w:rsid w:val="00392231"/>
    <w:rsid w:val="00397391"/>
    <w:rsid w:val="003C179C"/>
    <w:rsid w:val="003C53AE"/>
    <w:rsid w:val="003C73E5"/>
    <w:rsid w:val="003E37A9"/>
    <w:rsid w:val="003E46CF"/>
    <w:rsid w:val="003F20ED"/>
    <w:rsid w:val="00410BB7"/>
    <w:rsid w:val="00423C27"/>
    <w:rsid w:val="0044127A"/>
    <w:rsid w:val="004463C9"/>
    <w:rsid w:val="004514F0"/>
    <w:rsid w:val="00460766"/>
    <w:rsid w:val="00475F9D"/>
    <w:rsid w:val="004A5648"/>
    <w:rsid w:val="004B6F36"/>
    <w:rsid w:val="004C22B7"/>
    <w:rsid w:val="004D07DD"/>
    <w:rsid w:val="004D48A2"/>
    <w:rsid w:val="004E12B3"/>
    <w:rsid w:val="004E36BC"/>
    <w:rsid w:val="004E46B8"/>
    <w:rsid w:val="004F124B"/>
    <w:rsid w:val="005130D8"/>
    <w:rsid w:val="00530BEA"/>
    <w:rsid w:val="005403E1"/>
    <w:rsid w:val="00540B0C"/>
    <w:rsid w:val="005574F9"/>
    <w:rsid w:val="005760D3"/>
    <w:rsid w:val="00594470"/>
    <w:rsid w:val="00595622"/>
    <w:rsid w:val="005A3CDB"/>
    <w:rsid w:val="005C5D1C"/>
    <w:rsid w:val="005D5C6C"/>
    <w:rsid w:val="005F7F38"/>
    <w:rsid w:val="00623AFB"/>
    <w:rsid w:val="0062764F"/>
    <w:rsid w:val="00636554"/>
    <w:rsid w:val="00645CD6"/>
    <w:rsid w:val="00692398"/>
    <w:rsid w:val="006A4524"/>
    <w:rsid w:val="006D0912"/>
    <w:rsid w:val="006E0A85"/>
    <w:rsid w:val="006F01A9"/>
    <w:rsid w:val="006F2D80"/>
    <w:rsid w:val="00700287"/>
    <w:rsid w:val="007178F1"/>
    <w:rsid w:val="007311B7"/>
    <w:rsid w:val="00743B24"/>
    <w:rsid w:val="00755FB8"/>
    <w:rsid w:val="007A0EB1"/>
    <w:rsid w:val="007B0D75"/>
    <w:rsid w:val="007D66D2"/>
    <w:rsid w:val="008062D7"/>
    <w:rsid w:val="0081766B"/>
    <w:rsid w:val="0084246A"/>
    <w:rsid w:val="00844E6C"/>
    <w:rsid w:val="00852E4B"/>
    <w:rsid w:val="008B1F2B"/>
    <w:rsid w:val="008B440C"/>
    <w:rsid w:val="008E0585"/>
    <w:rsid w:val="008E42A1"/>
    <w:rsid w:val="0090216C"/>
    <w:rsid w:val="00905639"/>
    <w:rsid w:val="009112E0"/>
    <w:rsid w:val="0093477A"/>
    <w:rsid w:val="00937CEB"/>
    <w:rsid w:val="00942CDC"/>
    <w:rsid w:val="0094366C"/>
    <w:rsid w:val="009547A3"/>
    <w:rsid w:val="00966337"/>
    <w:rsid w:val="00975F9B"/>
    <w:rsid w:val="00980644"/>
    <w:rsid w:val="00995BEC"/>
    <w:rsid w:val="009C1E3C"/>
    <w:rsid w:val="009D0E1C"/>
    <w:rsid w:val="009E3314"/>
    <w:rsid w:val="009E5260"/>
    <w:rsid w:val="009F39A1"/>
    <w:rsid w:val="00A1492A"/>
    <w:rsid w:val="00A25418"/>
    <w:rsid w:val="00A258F7"/>
    <w:rsid w:val="00A47AC5"/>
    <w:rsid w:val="00A5367F"/>
    <w:rsid w:val="00A75BD1"/>
    <w:rsid w:val="00A834E8"/>
    <w:rsid w:val="00A83CDD"/>
    <w:rsid w:val="00A84498"/>
    <w:rsid w:val="00A9546F"/>
    <w:rsid w:val="00AB4B7A"/>
    <w:rsid w:val="00AB669B"/>
    <w:rsid w:val="00AC3A8B"/>
    <w:rsid w:val="00AC4122"/>
    <w:rsid w:val="00AD3BAA"/>
    <w:rsid w:val="00AD5EC5"/>
    <w:rsid w:val="00AE1707"/>
    <w:rsid w:val="00AE3BDF"/>
    <w:rsid w:val="00AE73B7"/>
    <w:rsid w:val="00AE78F9"/>
    <w:rsid w:val="00AF1B79"/>
    <w:rsid w:val="00B06009"/>
    <w:rsid w:val="00B1204C"/>
    <w:rsid w:val="00B168D4"/>
    <w:rsid w:val="00B277B9"/>
    <w:rsid w:val="00B33D7E"/>
    <w:rsid w:val="00BD3810"/>
    <w:rsid w:val="00C06DD8"/>
    <w:rsid w:val="00C1223E"/>
    <w:rsid w:val="00C36C95"/>
    <w:rsid w:val="00C51BF2"/>
    <w:rsid w:val="00C72B2B"/>
    <w:rsid w:val="00C73E97"/>
    <w:rsid w:val="00CB34F5"/>
    <w:rsid w:val="00CB5CCC"/>
    <w:rsid w:val="00CC1326"/>
    <w:rsid w:val="00CD0DCA"/>
    <w:rsid w:val="00CE094F"/>
    <w:rsid w:val="00D00C15"/>
    <w:rsid w:val="00D010AA"/>
    <w:rsid w:val="00D2685C"/>
    <w:rsid w:val="00D33A7E"/>
    <w:rsid w:val="00D45BF4"/>
    <w:rsid w:val="00D72C42"/>
    <w:rsid w:val="00D94BE6"/>
    <w:rsid w:val="00DA2B45"/>
    <w:rsid w:val="00DC28AC"/>
    <w:rsid w:val="00DC348F"/>
    <w:rsid w:val="00E144C3"/>
    <w:rsid w:val="00E26795"/>
    <w:rsid w:val="00E27FE2"/>
    <w:rsid w:val="00E36D2B"/>
    <w:rsid w:val="00E86A3B"/>
    <w:rsid w:val="00E92B18"/>
    <w:rsid w:val="00E94ECA"/>
    <w:rsid w:val="00EB3D42"/>
    <w:rsid w:val="00EC34CD"/>
    <w:rsid w:val="00F14FE1"/>
    <w:rsid w:val="00F20E52"/>
    <w:rsid w:val="00F279FF"/>
    <w:rsid w:val="00F47319"/>
    <w:rsid w:val="00F553FA"/>
    <w:rsid w:val="00F61D8D"/>
    <w:rsid w:val="00F72F07"/>
    <w:rsid w:val="00F7454C"/>
    <w:rsid w:val="00F80305"/>
    <w:rsid w:val="00FD1525"/>
    <w:rsid w:val="00FF2ADD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6E92D"/>
  <w15:chartTrackingRefBased/>
  <w15:docId w15:val="{21E39A3B-C769-41F0-9559-CE7621C2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D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22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C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6C9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5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5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5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5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2B"/>
  </w:style>
  <w:style w:type="paragraph" w:styleId="Footer">
    <w:name w:val="footer"/>
    <w:basedOn w:val="Normal"/>
    <w:link w:val="FooterChar"/>
    <w:uiPriority w:val="99"/>
    <w:unhideWhenUsed/>
    <w:rsid w:val="008B1F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2B"/>
  </w:style>
  <w:style w:type="paragraph" w:styleId="Revision">
    <w:name w:val="Revision"/>
    <w:hidden/>
    <w:uiPriority w:val="99"/>
    <w:semiHidden/>
    <w:rsid w:val="00627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D07DD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E52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52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5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0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justiceinitiative.org/uploads/ffbfce10-b1f6-4f01-a92d-a05cf7c620b6/rule-9-submission-al-nashiri-v-poland-20210701.pdf" TargetMode="External"/><Relationship Id="rId18" Type="http://schemas.openxmlformats.org/officeDocument/2006/relationships/hyperlink" Target="https://www.jurist.org/news/2021/05/guantanamo-bay-forever-prisoner-asks-un-to-intervene/" TargetMode="External"/><Relationship Id="rId26" Type="http://schemas.openxmlformats.org/officeDocument/2006/relationships/hyperlink" Target="https://www.bloomsbury.com/uk/strategic-human-rights-litigation-9781509921973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tatic1.squarespace.com/static/5b82ab175b409b90d4c99071/t/61e548784781ee0cea5bc5ac/1642416250292/Legal+Opinion+NES2+Final.pdf" TargetMode="External"/><Relationship Id="rId34" Type="http://schemas.openxmlformats.org/officeDocument/2006/relationships/hyperlink" Target="https://www.ecchr.eu/fileadmin/Guantanamo/01_ECCHR_GUANTANAMO_FINAL_DP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ightsinpractice.org/garzon" TargetMode="External"/><Relationship Id="rId17" Type="http://schemas.openxmlformats.org/officeDocument/2006/relationships/hyperlink" Target="https://www.theguardian.com/us-news/2021/apr/30/Guantanamo-torture-abu-zubaydah-un-human-rights" TargetMode="External"/><Relationship Id="rId25" Type="http://schemas.openxmlformats.org/officeDocument/2006/relationships/hyperlink" Target="https://www.cambridge.org/core/books/law-applicable-to-armed-conflict/B44C0C8F4E683AB5CBC7A792EFAAAB9D" TargetMode="External"/><Relationship Id="rId33" Type="http://schemas.openxmlformats.org/officeDocument/2006/relationships/hyperlink" Target="https://www.ejiltalk.org/articles-on-responsibility-of-states-for-internationally-wrongful-acts-and-human-rights-practice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rance24.com/en/live-news/20210429-guantanamo-detainee-abu-zubaydah-to-file-complaint-with-un-agency" TargetMode="External"/><Relationship Id="rId20" Type="http://schemas.openxmlformats.org/officeDocument/2006/relationships/hyperlink" Target="https://static1.squarespace.com/static/5b82ab175b409b90d4c99071/t/61e54882a9f4220fee6e9d92/1642416261348/Legal+Opinion+on+Al+Hol+Criminal+Justice+issues+2152020+%281%29.pdf" TargetMode="External"/><Relationship Id="rId29" Type="http://schemas.openxmlformats.org/officeDocument/2006/relationships/hyperlink" Target="https://books.google.de/books?id=j4o5EAAAQBAJ&amp;pg=PA62&amp;lpg=PA62&amp;dq=Climate+Change+and+the+Extra-Territorial+Scope+of+Human+Rights+Obligations:+Global+Threats+and+Fragmented+Responses&amp;source=bl&amp;ots=-oncm4K0Ef&amp;sig=ACfU3U3XP8s6fT6S6_W30gbjcrwRW8c1iQ&amp;hl=de&amp;sa=X&amp;ved=2ahUKEwjfiIa3vLj1AhVQg_0HHVExDKUQ6AF6BAgOEA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tic1.squarespace.com/static/5b82ab175b409b90d4c99071/t/6128aaeb3a45245213d39111/1630055147753/Press+Statement+HRiP+FINAL+27821.pdf" TargetMode="External"/><Relationship Id="rId24" Type="http://schemas.openxmlformats.org/officeDocument/2006/relationships/hyperlink" Target="https://www.rightsinpractice.org/new-blog/2021/12/20/academic-freedom-under-attack-in-turkey-intervention-at-european-court-in-the-academics-for-peace-cases" TargetMode="External"/><Relationship Id="rId32" Type="http://schemas.openxmlformats.org/officeDocument/2006/relationships/hyperlink" Target="https://www.childrensrightsobservatory.nl/case-notes/casenote2021-3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rance24.com/en/live-news/20210429-guantanamo-detainee-abu-zubaydah-to-file-complaint-with-un-agency" TargetMode="External"/><Relationship Id="rId23" Type="http://schemas.openxmlformats.org/officeDocument/2006/relationships/hyperlink" Target="https://www.turkeylitigationsupport.com/blog/2021/12/3/turkey-council-of-europe-takes-big-step-forward-in-human-rights-enforcement-with-sanction-against-turkey" TargetMode="External"/><Relationship Id="rId28" Type="http://schemas.openxmlformats.org/officeDocument/2006/relationships/hyperlink" Target="https://papers.ssrn.com/sol3/papers.cfm?abstract_id=3632897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static1.squarespace.com/static/5b82ab175b409b90d4c99071/t/612777e85b48150450627293/1629976553241/BG+v+Esp.+ccpr+2844+%28Fondos%29.pdf" TargetMode="External"/><Relationship Id="rId19" Type="http://schemas.openxmlformats.org/officeDocument/2006/relationships/hyperlink" Target="http://www.climatecrimeanalysis.org" TargetMode="External"/><Relationship Id="rId31" Type="http://schemas.openxmlformats.org/officeDocument/2006/relationships/hyperlink" Target="https://www.ejiltalk.org/people-v-arctic-oil-before-supreme-court-of-norway-whats-at-stake-for-human-rights-protection-in-the-climate-cri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ightsinpractice.org/garzon" TargetMode="External"/><Relationship Id="rId14" Type="http://schemas.openxmlformats.org/officeDocument/2006/relationships/hyperlink" Target="http://www.rightsinpractice.org/new-blog/2022/1/18/open-letter-on-non-implementation-of-ecthr-rendition-judgments" TargetMode="External"/><Relationship Id="rId22" Type="http://schemas.openxmlformats.org/officeDocument/2006/relationships/hyperlink" Target="https://www.turkeylitigationsupport.com" TargetMode="External"/><Relationship Id="rId27" Type="http://schemas.openxmlformats.org/officeDocument/2006/relationships/hyperlink" Target="https://www.icj.org/wp-content/uploads/2020/11/Guidance-counter-terrorism-ENG-2020-1.pdf" TargetMode="External"/><Relationship Id="rId30" Type="http://schemas.openxmlformats.org/officeDocument/2006/relationships/hyperlink" Target="https://www.justsecurity.org/74465/georgia-v-russia-jurisdiction-chaos-and-conflict-at-the-european-court-of-human-rights/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9B0CF-0E43-4BF7-89EF-25114EE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2737</Words>
  <Characters>15602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Duffy</dc:creator>
  <cp:keywords/>
  <dc:description/>
  <cp:lastModifiedBy>Helen Duffy</cp:lastModifiedBy>
  <cp:revision>3</cp:revision>
  <cp:lastPrinted>2022-01-19T11:04:00Z</cp:lastPrinted>
  <dcterms:created xsi:type="dcterms:W3CDTF">2022-01-19T11:09:00Z</dcterms:created>
  <dcterms:modified xsi:type="dcterms:W3CDTF">2022-01-19T11:10:00Z</dcterms:modified>
</cp:coreProperties>
</file>